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FA3C9C" w14:textId="77777777" w:rsidR="00106175" w:rsidRPr="00106175" w:rsidRDefault="00106175" w:rsidP="00106175">
      <w:pPr>
        <w:spacing w:before="360" w:after="240" w:line="240" w:lineRule="auto"/>
        <w:textAlignment w:val="baseline"/>
        <w:outlineLvl w:val="0"/>
        <w:rPr>
          <w:rFonts w:ascii="Segoe UI" w:eastAsia="Times New Roman" w:hAnsi="Segoe UI" w:cs="Segoe UI"/>
          <w:b/>
          <w:kern w:val="36"/>
          <w:sz w:val="48"/>
          <w:szCs w:val="48"/>
          <w:lang w:eastAsia="zh-TW"/>
          <w14:ligatures w14:val="none"/>
        </w:rPr>
      </w:pPr>
      <w:r w:rsidRPr="00106175">
        <w:rPr>
          <w:rFonts w:ascii="Microsoft YaHei" w:eastAsia="Microsoft YaHei" w:hAnsi="Microsoft YaHei" w:cs="Microsoft YaHei"/>
          <w:b/>
          <w:kern w:val="36"/>
          <w:sz w:val="48"/>
          <w:szCs w:val="48"/>
          <w:lang w:eastAsia="zh-TW"/>
          <w14:ligatures w14:val="none"/>
        </w:rPr>
        <w:t>渣打突然搶著做</w:t>
      </w:r>
      <w:r w:rsidRPr="00106175">
        <w:rPr>
          <w:rFonts w:ascii="Segoe UI" w:eastAsia="Times New Roman" w:hAnsi="Segoe UI" w:cs="Segoe UI"/>
          <w:b/>
          <w:kern w:val="36"/>
          <w:sz w:val="48"/>
          <w:szCs w:val="48"/>
          <w:lang w:eastAsia="zh-TW"/>
          <w14:ligatures w14:val="none"/>
        </w:rPr>
        <w:t>USDC</w:t>
      </w:r>
      <w:r w:rsidRPr="00106175">
        <w:rPr>
          <w:rFonts w:ascii="Microsoft YaHei" w:eastAsia="Microsoft YaHei" w:hAnsi="Microsoft YaHei" w:cs="Microsoft YaHei"/>
          <w:b/>
          <w:kern w:val="36"/>
          <w:sz w:val="48"/>
          <w:szCs w:val="48"/>
          <w:lang w:eastAsia="zh-TW"/>
          <w14:ligatures w14:val="none"/>
        </w:rPr>
        <w:t>生意：這件事，比你想象的更靠近你的錢包</w:t>
      </w:r>
    </w:p>
    <w:p w14:paraId="39F3EDA3"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inherit" w:eastAsia="Times New Roman" w:hAnsi="inherit" w:cs="Segoe UI"/>
          <w:b/>
          <w:kern w:val="0"/>
          <w:bdr w:val="none" w:sz="0" w:space="0" w:color="auto" w:frame="1"/>
          <w:lang w:eastAsia="zh-TW"/>
          <w14:ligatures w14:val="none"/>
        </w:rPr>
        <w:t>EXIO</w:t>
      </w:r>
      <w:r w:rsidRPr="00106175">
        <w:rPr>
          <w:rFonts w:ascii="SimSun" w:eastAsia="SimSun" w:hAnsi="SimSun" w:cs="SimSun"/>
          <w:b/>
          <w:kern w:val="0"/>
          <w:bdr w:val="none" w:sz="0" w:space="0" w:color="auto" w:frame="1"/>
          <w:lang w:eastAsia="zh-TW"/>
          <w14:ligatures w14:val="none"/>
        </w:rPr>
        <w:t>研究院觀點：這不是一張普通新聞稿，而是一場資金流動規則的靜默重寫。</w:t>
      </w:r>
    </w:p>
    <w:p w14:paraId="5DF04C32" w14:textId="77777777" w:rsidR="00106175" w:rsidRDefault="00106175" w:rsidP="00106175">
      <w:pPr>
        <w:spacing w:after="0" w:line="240" w:lineRule="auto"/>
        <w:textAlignment w:val="baseline"/>
        <w:rPr>
          <w:rFonts w:ascii="Microsoft YaHei" w:eastAsia="Microsoft YaHei" w:hAnsi="Microsoft YaHei" w:cs="Microsoft YaHei"/>
          <w:kern w:val="0"/>
          <w:lang w:eastAsia="zh-TW"/>
          <w14:ligatures w14:val="none"/>
        </w:rPr>
      </w:pPr>
      <w:r w:rsidRPr="00106175">
        <w:rPr>
          <w:rFonts w:ascii="Microsoft YaHei" w:eastAsia="Microsoft YaHei" w:hAnsi="Microsoft YaHei" w:cs="Microsoft YaHei"/>
          <w:kern w:val="0"/>
          <w:lang w:eastAsia="zh-TW"/>
          <w14:ligatures w14:val="none"/>
        </w:rPr>
        <w:t>七月初，渣打銀行做了一件事</w:t>
      </w:r>
      <w:r w:rsidRPr="00106175">
        <w:rPr>
          <w:rFonts w:ascii="Segoe UI" w:eastAsia="Times New Roman" w:hAnsi="Segoe UI" w:cs="Segoe UI"/>
          <w:kern w:val="0"/>
          <w:lang w:eastAsia="zh-TW"/>
          <w14:ligatures w14:val="none"/>
        </w:rPr>
        <w:t>——</w:t>
      </w:r>
      <w:r w:rsidRPr="00106175">
        <w:rPr>
          <w:rFonts w:ascii="Microsoft YaHei" w:eastAsia="Microsoft YaHei" w:hAnsi="Microsoft YaHei" w:cs="Microsoft YaHei"/>
          <w:kern w:val="0"/>
          <w:lang w:eastAsia="zh-TW"/>
          <w14:ligatures w14:val="none"/>
        </w:rPr>
        <w:t>和</w:t>
      </w:r>
      <w:r w:rsidRPr="00106175">
        <w:rPr>
          <w:rFonts w:ascii="Segoe UI" w:eastAsia="Times New Roman" w:hAnsi="Segoe UI" w:cs="Segoe UI"/>
          <w:kern w:val="0"/>
          <w:lang w:eastAsia="zh-TW"/>
          <w14:ligatures w14:val="none"/>
        </w:rPr>
        <w:t xml:space="preserve"> Circle </w:t>
      </w:r>
      <w:r w:rsidRPr="00106175">
        <w:rPr>
          <w:rFonts w:ascii="Microsoft YaHei" w:eastAsia="Microsoft YaHei" w:hAnsi="Microsoft YaHei" w:cs="Microsoft YaHei"/>
          <w:kern w:val="0"/>
          <w:lang w:eastAsia="zh-TW"/>
          <w14:ligatures w14:val="none"/>
        </w:rPr>
        <w:t>聯手推出機構級</w:t>
      </w:r>
      <w:r w:rsidRPr="00106175">
        <w:rPr>
          <w:rFonts w:ascii="Segoe UI" w:eastAsia="Times New Roman" w:hAnsi="Segoe UI" w:cs="Segoe UI"/>
          <w:kern w:val="0"/>
          <w:lang w:eastAsia="zh-TW"/>
          <w14:ligatures w14:val="none"/>
        </w:rPr>
        <w:t xml:space="preserve"> USDC </w:t>
      </w:r>
      <w:r w:rsidRPr="00106175">
        <w:rPr>
          <w:rFonts w:ascii="Microsoft YaHei" w:eastAsia="Microsoft YaHei" w:hAnsi="Microsoft YaHei" w:cs="Microsoft YaHei"/>
          <w:kern w:val="0"/>
          <w:lang w:eastAsia="zh-TW"/>
          <w14:ligatures w14:val="none"/>
        </w:rPr>
        <w:t>鑄造與贖回服務，率先落地迪拜國際金融中心（</w:t>
      </w:r>
      <w:r w:rsidRPr="00106175">
        <w:rPr>
          <w:rFonts w:ascii="Segoe UI" w:eastAsia="Times New Roman" w:hAnsi="Segoe UI" w:cs="Segoe UI"/>
          <w:kern w:val="0"/>
          <w:lang w:eastAsia="zh-TW"/>
          <w14:ligatures w14:val="none"/>
        </w:rPr>
        <w:t>DIFC</w:t>
      </w:r>
      <w:r w:rsidRPr="00106175">
        <w:rPr>
          <w:rFonts w:ascii="Microsoft YaHei" w:eastAsia="Microsoft YaHei" w:hAnsi="Microsoft YaHei" w:cs="Microsoft YaHei"/>
          <w:kern w:val="0"/>
          <w:lang w:eastAsia="zh-TW"/>
          <w14:ligatures w14:val="none"/>
        </w:rPr>
        <w:t>）。表面看，這只是多了一家銀行支持穩定幣；但</w:t>
      </w:r>
      <w:r w:rsidRPr="00106175">
        <w:rPr>
          <w:rFonts w:ascii="Segoe UI" w:eastAsia="Times New Roman" w:hAnsi="Segoe UI" w:cs="Segoe UI"/>
          <w:kern w:val="0"/>
          <w:lang w:eastAsia="zh-TW"/>
          <w14:ligatures w14:val="none"/>
        </w:rPr>
        <w:t xml:space="preserve"> EXIO </w:t>
      </w:r>
      <w:r w:rsidRPr="00106175">
        <w:rPr>
          <w:rFonts w:ascii="Microsoft YaHei" w:eastAsia="Microsoft YaHei" w:hAnsi="Microsoft YaHei" w:cs="Microsoft YaHei"/>
          <w:kern w:val="0"/>
          <w:lang w:eastAsia="zh-TW"/>
          <w14:ligatures w14:val="none"/>
        </w:rPr>
        <w:t>認為，這是傳統金融對穩定幣從「防堵」到「接入」的戰略轉向正式啟動。當一家全球系統重要性銀行（</w:t>
      </w:r>
      <w:r w:rsidRPr="00106175">
        <w:rPr>
          <w:rFonts w:ascii="Segoe UI" w:eastAsia="Times New Roman" w:hAnsi="Segoe UI" w:cs="Segoe UI"/>
          <w:kern w:val="0"/>
          <w:lang w:eastAsia="zh-TW"/>
          <w14:ligatures w14:val="none"/>
        </w:rPr>
        <w:t>G-SIB</w:t>
      </w:r>
      <w:r w:rsidRPr="00106175">
        <w:rPr>
          <w:rFonts w:ascii="Microsoft YaHei" w:eastAsia="Microsoft YaHei" w:hAnsi="Microsoft YaHei" w:cs="Microsoft YaHei"/>
          <w:kern w:val="0"/>
          <w:lang w:eastAsia="zh-TW"/>
          <w14:ligatures w14:val="none"/>
        </w:rPr>
        <w:t>）主動把穩定幣「請進門」，這件事的意義遠超產品上新</w:t>
      </w:r>
      <w:r w:rsidRPr="00106175">
        <w:rPr>
          <w:rFonts w:ascii="Segoe UI" w:eastAsia="Times New Roman" w:hAnsi="Segoe UI" w:cs="Segoe UI"/>
          <w:kern w:val="0"/>
          <w:lang w:eastAsia="zh-TW"/>
          <w14:ligatures w14:val="none"/>
        </w:rPr>
        <w:t>——</w:t>
      </w:r>
      <w:r w:rsidRPr="00106175">
        <w:rPr>
          <w:rFonts w:ascii="Microsoft YaHei" w:eastAsia="Microsoft YaHei" w:hAnsi="Microsoft YaHei" w:cs="Microsoft YaHei"/>
          <w:kern w:val="0"/>
          <w:lang w:eastAsia="zh-TW"/>
          <w14:ligatures w14:val="none"/>
        </w:rPr>
        <w:t>它意味着穩定幣正在從加密行業的基礎設施，變成傳統金融認可並願意提供的金融服務。</w:t>
      </w:r>
    </w:p>
    <w:p w14:paraId="77EEDBEE" w14:textId="77777777" w:rsidR="00721178" w:rsidRPr="00106175" w:rsidRDefault="00721178" w:rsidP="00106175">
      <w:pPr>
        <w:spacing w:after="0" w:line="240" w:lineRule="auto"/>
        <w:textAlignment w:val="baseline"/>
        <w:rPr>
          <w:rFonts w:ascii="Segoe UI" w:eastAsia="Times New Roman" w:hAnsi="Segoe UI" w:cs="Segoe UI"/>
          <w:kern w:val="0"/>
          <w:lang w:eastAsia="zh-TW"/>
          <w14:ligatures w14:val="none"/>
        </w:rPr>
      </w:pPr>
    </w:p>
    <w:p w14:paraId="66A80D07"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SimSun" w:eastAsia="SimSun" w:hAnsi="SimSun" w:cs="SimSun"/>
          <w:b/>
          <w:kern w:val="0"/>
          <w:bdr w:val="none" w:sz="0" w:space="0" w:color="auto" w:frame="1"/>
          <w:lang w:eastAsia="zh-TW"/>
          <w14:ligatures w14:val="none"/>
        </w:rPr>
        <w:t>為什麼你的錢包應該關心？</w:t>
      </w:r>
    </w:p>
    <w:p w14:paraId="5808B0D7"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Microsoft YaHei" w:eastAsia="Microsoft YaHei" w:hAnsi="Microsoft YaHei" w:cs="Microsoft YaHei"/>
          <w:kern w:val="0"/>
          <w:lang w:eastAsia="zh-TW"/>
          <w14:ligatures w14:val="none"/>
        </w:rPr>
        <w:t>過去銀行對穩定幣只有一個態度：防。防它搶支付業務，防它繞過清算體系，防它動搖自己坐了一百年的金融中樞位置。但現在，全球最大的銀行之一主動「倒戈」了。這個轉變不是因為銀行變了心，而是因為遊戲規則變了。</w:t>
      </w:r>
    </w:p>
    <w:p w14:paraId="60750624" w14:textId="77777777" w:rsidR="00106175" w:rsidRDefault="00106175" w:rsidP="00106175">
      <w:pPr>
        <w:spacing w:after="0" w:line="240" w:lineRule="auto"/>
        <w:textAlignment w:val="baseline"/>
        <w:rPr>
          <w:rFonts w:ascii="Microsoft YaHei" w:eastAsia="Microsoft YaHei" w:hAnsi="Microsoft YaHei" w:cs="Microsoft YaHei"/>
          <w:kern w:val="0"/>
          <w:lang w:eastAsia="zh-TW"/>
          <w14:ligatures w14:val="none"/>
        </w:rPr>
      </w:pPr>
      <w:r w:rsidRPr="00106175">
        <w:rPr>
          <w:rFonts w:ascii="Microsoft YaHei" w:eastAsia="Microsoft YaHei" w:hAnsi="Microsoft YaHei" w:cs="Microsoft YaHei"/>
          <w:kern w:val="0"/>
          <w:lang w:eastAsia="zh-TW"/>
          <w14:ligatures w14:val="none"/>
        </w:rPr>
        <w:t>三個驅動力推動了這一切。首先是監管框架逐漸清晰：歐洲</w:t>
      </w:r>
      <w:r w:rsidRPr="00106175">
        <w:rPr>
          <w:rFonts w:ascii="Segoe UI" w:eastAsia="Times New Roman" w:hAnsi="Segoe UI" w:cs="Segoe UI"/>
          <w:kern w:val="0"/>
          <w:lang w:eastAsia="zh-TW"/>
          <w14:ligatures w14:val="none"/>
        </w:rPr>
        <w:t xml:space="preserve"> MiCA </w:t>
      </w:r>
      <w:r w:rsidRPr="00106175">
        <w:rPr>
          <w:rFonts w:ascii="Microsoft YaHei" w:eastAsia="Microsoft YaHei" w:hAnsi="Microsoft YaHei" w:cs="Microsoft YaHei"/>
          <w:kern w:val="0"/>
          <w:lang w:eastAsia="zh-TW"/>
          <w14:ligatures w14:val="none"/>
        </w:rPr>
        <w:t>法規過渡期已於今年七月正式結束，美國《</w:t>
      </w:r>
      <w:r w:rsidRPr="00106175">
        <w:rPr>
          <w:rFonts w:ascii="Segoe UI" w:eastAsia="Times New Roman" w:hAnsi="Segoe UI" w:cs="Segoe UI"/>
          <w:kern w:val="0"/>
          <w:lang w:eastAsia="zh-TW"/>
          <w14:ligatures w14:val="none"/>
        </w:rPr>
        <w:t>GENIUS</w:t>
      </w:r>
      <w:r w:rsidRPr="00106175">
        <w:rPr>
          <w:rFonts w:ascii="Microsoft YaHei" w:eastAsia="Microsoft YaHei" w:hAnsi="Microsoft YaHei" w:cs="Microsoft YaHei"/>
          <w:kern w:val="0"/>
          <w:lang w:eastAsia="zh-TW"/>
          <w14:ligatures w14:val="none"/>
        </w:rPr>
        <w:t>法案》亦於去年簽署成法，穩定幣開始擁有明確的監管身份。對銀行來說，最大的風險從來不是創新，而是不確定性。其次是應用場景快速擴展：穩定幣早已不限於加密交易，而是延伸到跨境支付、國際貿易、企業資金管理，麥格理集團數據顯示</w:t>
      </w:r>
      <w:r w:rsidRPr="00106175">
        <w:rPr>
          <w:rFonts w:ascii="Segoe UI" w:eastAsia="Times New Roman" w:hAnsi="Segoe UI" w:cs="Segoe UI"/>
          <w:kern w:val="0"/>
          <w:lang w:eastAsia="zh-TW"/>
          <w14:ligatures w14:val="none"/>
        </w:rPr>
        <w:t xml:space="preserve"> 2025 </w:t>
      </w:r>
      <w:r w:rsidRPr="00106175">
        <w:rPr>
          <w:rFonts w:ascii="Microsoft YaHei" w:eastAsia="Microsoft YaHei" w:hAnsi="Microsoft YaHei" w:cs="Microsoft YaHei"/>
          <w:kern w:val="0"/>
          <w:lang w:eastAsia="zh-TW"/>
          <w14:ligatures w14:val="none"/>
        </w:rPr>
        <w:t>年經調整後的穩定幣轉賬量達到約</w:t>
      </w:r>
      <w:r w:rsidRPr="00106175">
        <w:rPr>
          <w:rFonts w:ascii="Segoe UI" w:eastAsia="Times New Roman" w:hAnsi="Segoe UI" w:cs="Segoe UI"/>
          <w:kern w:val="0"/>
          <w:lang w:eastAsia="zh-TW"/>
          <w14:ligatures w14:val="none"/>
        </w:rPr>
        <w:t xml:space="preserve"> 11 </w:t>
      </w:r>
      <w:r w:rsidRPr="00106175">
        <w:rPr>
          <w:rFonts w:ascii="Microsoft YaHei" w:eastAsia="Microsoft YaHei" w:hAnsi="Microsoft YaHei" w:cs="Microsoft YaHei"/>
          <w:kern w:val="0"/>
          <w:lang w:eastAsia="zh-TW"/>
          <w14:ligatures w14:val="none"/>
        </w:rPr>
        <w:t>萬億美元。第三是戰略思維轉變：與其等客戶繞開自己使用穩定幣，不如主動將穩定幣納入產品體系。渣打沒有自己發行穩定幣，而是利用已有的銀行信用、機構客戶資源和全球網絡，與</w:t>
      </w:r>
      <w:r w:rsidRPr="00106175">
        <w:rPr>
          <w:rFonts w:ascii="Segoe UI" w:eastAsia="Times New Roman" w:hAnsi="Segoe UI" w:cs="Segoe UI"/>
          <w:kern w:val="0"/>
          <w:lang w:eastAsia="zh-TW"/>
          <w14:ligatures w14:val="none"/>
        </w:rPr>
        <w:t xml:space="preserve"> Circle </w:t>
      </w:r>
      <w:r w:rsidRPr="00106175">
        <w:rPr>
          <w:rFonts w:ascii="Microsoft YaHei" w:eastAsia="Microsoft YaHei" w:hAnsi="Microsoft YaHei" w:cs="Microsoft YaHei"/>
          <w:kern w:val="0"/>
          <w:lang w:eastAsia="zh-TW"/>
          <w14:ligatures w14:val="none"/>
        </w:rPr>
        <w:t>合作</w:t>
      </w:r>
      <w:r w:rsidRPr="00106175">
        <w:rPr>
          <w:rFonts w:ascii="Segoe UI" w:eastAsia="Times New Roman" w:hAnsi="Segoe UI" w:cs="Segoe UI"/>
          <w:kern w:val="0"/>
          <w:lang w:eastAsia="zh-TW"/>
          <w14:ligatures w14:val="none"/>
        </w:rPr>
        <w:t>——</w:t>
      </w:r>
      <w:r w:rsidRPr="00106175">
        <w:rPr>
          <w:rFonts w:ascii="Microsoft YaHei" w:eastAsia="Microsoft YaHei" w:hAnsi="Microsoft YaHei" w:cs="Microsoft YaHei"/>
          <w:kern w:val="0"/>
          <w:lang w:eastAsia="zh-TW"/>
          <w14:ligatures w14:val="none"/>
        </w:rPr>
        <w:t>輕資產、重入口、佔位置，這是典型的</w:t>
      </w:r>
      <w:r w:rsidRPr="00106175">
        <w:rPr>
          <w:rFonts w:ascii="Segoe UI" w:eastAsia="Times New Roman" w:hAnsi="Segoe UI" w:cs="Segoe UI"/>
          <w:kern w:val="0"/>
          <w:lang w:eastAsia="zh-TW"/>
          <w14:ligatures w14:val="none"/>
        </w:rPr>
        <w:t xml:space="preserve"> G-SIB </w:t>
      </w:r>
      <w:r w:rsidRPr="00106175">
        <w:rPr>
          <w:rFonts w:ascii="Microsoft YaHei" w:eastAsia="Microsoft YaHei" w:hAnsi="Microsoft YaHei" w:cs="Microsoft YaHei"/>
          <w:kern w:val="0"/>
          <w:lang w:eastAsia="zh-TW"/>
          <w14:ligatures w14:val="none"/>
        </w:rPr>
        <w:t>打法。</w:t>
      </w:r>
    </w:p>
    <w:p w14:paraId="7BF9A12B" w14:textId="77777777" w:rsidR="00721178" w:rsidRPr="00106175" w:rsidRDefault="00721178" w:rsidP="00106175">
      <w:pPr>
        <w:spacing w:after="0" w:line="240" w:lineRule="auto"/>
        <w:textAlignment w:val="baseline"/>
        <w:rPr>
          <w:rFonts w:ascii="Segoe UI" w:eastAsia="Times New Roman" w:hAnsi="Segoe UI" w:cs="Segoe UI"/>
          <w:kern w:val="0"/>
          <w:lang w:eastAsia="zh-TW"/>
          <w14:ligatures w14:val="none"/>
        </w:rPr>
      </w:pPr>
    </w:p>
    <w:p w14:paraId="04796B59"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SimSun" w:eastAsia="SimSun" w:hAnsi="SimSun" w:cs="SimSun"/>
          <w:b/>
          <w:kern w:val="0"/>
          <w:bdr w:val="none" w:sz="0" w:space="0" w:color="auto" w:frame="1"/>
          <w:lang w:eastAsia="zh-TW"/>
          <w14:ligatures w14:val="none"/>
        </w:rPr>
        <w:t>真正改變的是什麼：機構入場的「最後一哩路」被打通了</w:t>
      </w:r>
    </w:p>
    <w:p w14:paraId="4117E7C2"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Microsoft YaHei" w:eastAsia="Microsoft YaHei" w:hAnsi="Microsoft YaHei" w:cs="Microsoft YaHei"/>
          <w:kern w:val="0"/>
          <w:lang w:eastAsia="zh-TW"/>
          <w14:ligatures w14:val="none"/>
        </w:rPr>
        <w:t>對普通用戶來說，獲得</w:t>
      </w:r>
      <w:r w:rsidRPr="00106175">
        <w:rPr>
          <w:rFonts w:ascii="Segoe UI" w:eastAsia="Times New Roman" w:hAnsi="Segoe UI" w:cs="Segoe UI"/>
          <w:kern w:val="0"/>
          <w:lang w:eastAsia="zh-TW"/>
          <w14:ligatures w14:val="none"/>
        </w:rPr>
        <w:t xml:space="preserve"> USDC </w:t>
      </w:r>
      <w:r w:rsidRPr="00106175">
        <w:rPr>
          <w:rFonts w:ascii="Microsoft YaHei" w:eastAsia="Microsoft YaHei" w:hAnsi="Microsoft YaHei" w:cs="Microsoft YaHei"/>
          <w:kern w:val="0"/>
          <w:lang w:eastAsia="zh-TW"/>
          <w14:ligatures w14:val="none"/>
        </w:rPr>
        <w:t>並不困難。</w:t>
      </w:r>
      <w:r w:rsidRPr="00106175">
        <w:rPr>
          <w:rFonts w:ascii="Microsoft YaHei" w:eastAsia="Microsoft YaHei" w:hAnsi="Microsoft YaHei" w:cs="Microsoft YaHei"/>
          <w:kern w:val="0"/>
          <w14:ligatures w14:val="none"/>
        </w:rPr>
        <w:t>真正困難的是機構。一家養老金、保險公司或跨國企業，不會因為一個錢包地址就把數億美元轉到鏈上。</w:t>
      </w:r>
      <w:r w:rsidRPr="00106175">
        <w:rPr>
          <w:rFonts w:ascii="Microsoft YaHei" w:eastAsia="Microsoft YaHei" w:hAnsi="Microsoft YaHei" w:cs="Microsoft YaHei"/>
          <w:kern w:val="0"/>
          <w:lang w:eastAsia="zh-TW"/>
          <w14:ligatures w14:val="none"/>
        </w:rPr>
        <w:t>它們需要經過嚴格的內部審批、風控審核、合規檢查以及審計流程，每一個環節都必須有清晰的責任主體和完整的業務記錄。過去，機構如需完成鑄造、贖回、託管及資金流轉，往往需要分別與發行方、託管機構、鏈上基礎設施、交易平台建立合作關係，流程複雜且成本較高。</w:t>
      </w:r>
    </w:p>
    <w:p w14:paraId="4D22E0AE" w14:textId="77777777" w:rsidR="00106175" w:rsidRDefault="00106175" w:rsidP="00106175">
      <w:pPr>
        <w:spacing w:after="0" w:line="240" w:lineRule="auto"/>
        <w:textAlignment w:val="baseline"/>
        <w:rPr>
          <w:rFonts w:ascii="Microsoft YaHei" w:eastAsia="Microsoft YaHei" w:hAnsi="Microsoft YaHei" w:cs="Microsoft YaHei"/>
          <w:kern w:val="0"/>
          <w:lang w:eastAsia="zh-TW"/>
          <w14:ligatures w14:val="none"/>
        </w:rPr>
      </w:pPr>
      <w:r w:rsidRPr="00106175">
        <w:rPr>
          <w:rFonts w:ascii="Microsoft YaHei" w:eastAsia="Microsoft YaHei" w:hAnsi="Microsoft YaHei" w:cs="Microsoft YaHei"/>
          <w:kern w:val="0"/>
          <w:lang w:eastAsia="zh-TW"/>
          <w14:ligatures w14:val="none"/>
        </w:rPr>
        <w:lastRenderedPageBreak/>
        <w:t>銀行的加入，改變了這一切。渣打提供「一站式」入口：單一開戶、單一服務流程。銀行本身具備機構客戶信任的合規框架、風控體系和審計路徑。更重要的是，銀行的品牌背書降低了機構內部的合規審批難度</w:t>
      </w:r>
      <w:r w:rsidRPr="00106175">
        <w:rPr>
          <w:rFonts w:ascii="Segoe UI" w:eastAsia="Times New Roman" w:hAnsi="Segoe UI" w:cs="Segoe UI"/>
          <w:kern w:val="0"/>
          <w:lang w:eastAsia="zh-TW"/>
          <w14:ligatures w14:val="none"/>
        </w:rPr>
        <w:t>——</w:t>
      </w:r>
      <w:r w:rsidRPr="00106175">
        <w:rPr>
          <w:rFonts w:ascii="Microsoft YaHei" w:eastAsia="Microsoft YaHei" w:hAnsi="Microsoft YaHei" w:cs="Microsoft YaHei"/>
          <w:kern w:val="0"/>
          <w:lang w:eastAsia="zh-TW"/>
          <w14:ligatures w14:val="none"/>
        </w:rPr>
        <w:t>「渣打都接了，我們為什麼不能接？」這句話，在無數機構的風控委員會上，將成為最有力的論據。</w:t>
      </w:r>
      <w:r w:rsidRPr="00106175">
        <w:rPr>
          <w:rFonts w:ascii="Segoe UI" w:eastAsia="Times New Roman" w:hAnsi="Segoe UI" w:cs="Segoe UI"/>
          <w:kern w:val="0"/>
          <w14:ligatures w14:val="none"/>
        </w:rPr>
        <w:t xml:space="preserve">EXIO </w:t>
      </w:r>
      <w:r w:rsidRPr="00106175">
        <w:rPr>
          <w:rFonts w:ascii="Microsoft YaHei" w:eastAsia="Microsoft YaHei" w:hAnsi="Microsoft YaHei" w:cs="Microsoft YaHei"/>
          <w:kern w:val="0"/>
          <w14:ligatures w14:val="none"/>
        </w:rPr>
        <w:t>認為，這次合作的真正價值不在於技術層面的創新，而在於機構准入門檻的結構性降低。</w:t>
      </w:r>
      <w:r w:rsidRPr="00106175">
        <w:rPr>
          <w:rFonts w:ascii="Microsoft YaHei" w:eastAsia="Microsoft YaHei" w:hAnsi="Microsoft YaHei" w:cs="Microsoft YaHei"/>
          <w:kern w:val="0"/>
          <w:lang w:eastAsia="zh-TW"/>
          <w14:ligatures w14:val="none"/>
        </w:rPr>
        <w:t>改變的不是</w:t>
      </w:r>
      <w:r w:rsidRPr="00106175">
        <w:rPr>
          <w:rFonts w:ascii="Segoe UI" w:eastAsia="Times New Roman" w:hAnsi="Segoe UI" w:cs="Segoe UI"/>
          <w:kern w:val="0"/>
          <w:lang w:eastAsia="zh-TW"/>
          <w14:ligatures w14:val="none"/>
        </w:rPr>
        <w:t xml:space="preserve"> USDC </w:t>
      </w:r>
      <w:r w:rsidRPr="00106175">
        <w:rPr>
          <w:rFonts w:ascii="Microsoft YaHei" w:eastAsia="Microsoft YaHei" w:hAnsi="Microsoft YaHei" w:cs="Microsoft YaHei"/>
          <w:kern w:val="0"/>
          <w:lang w:eastAsia="zh-TW"/>
          <w14:ligatures w14:val="none"/>
        </w:rPr>
        <w:t>本身，而是機構資金進入鏈上的方式</w:t>
      </w:r>
      <w:r w:rsidRPr="00106175">
        <w:rPr>
          <w:rFonts w:ascii="Segoe UI" w:eastAsia="Times New Roman" w:hAnsi="Segoe UI" w:cs="Segoe UI"/>
          <w:kern w:val="0"/>
          <w:lang w:eastAsia="zh-TW"/>
          <w14:ligatures w14:val="none"/>
        </w:rPr>
        <w:t>——</w:t>
      </w:r>
      <w:r w:rsidRPr="00106175">
        <w:rPr>
          <w:rFonts w:ascii="Microsoft YaHei" w:eastAsia="Microsoft YaHei" w:hAnsi="Microsoft YaHei" w:cs="Microsoft YaHei"/>
          <w:kern w:val="0"/>
          <w:lang w:eastAsia="zh-TW"/>
          <w14:ligatures w14:val="none"/>
        </w:rPr>
        <w:t>從「多頭對接、各自為政」變成「銀行統包、一鍵入局」。</w:t>
      </w:r>
    </w:p>
    <w:p w14:paraId="16C4DC0E" w14:textId="77777777" w:rsidR="00721178" w:rsidRPr="00106175" w:rsidRDefault="00721178" w:rsidP="00106175">
      <w:pPr>
        <w:spacing w:after="0" w:line="240" w:lineRule="auto"/>
        <w:textAlignment w:val="baseline"/>
        <w:rPr>
          <w:rFonts w:ascii="Segoe UI" w:eastAsia="Times New Roman" w:hAnsi="Segoe UI" w:cs="Segoe UI"/>
          <w:kern w:val="0"/>
          <w:lang w:eastAsia="zh-TW"/>
          <w14:ligatures w14:val="none"/>
        </w:rPr>
      </w:pPr>
    </w:p>
    <w:p w14:paraId="4E125FEE"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SimSun" w:eastAsia="SimSun" w:hAnsi="SimSun" w:cs="SimSun"/>
          <w:b/>
          <w:kern w:val="0"/>
          <w:bdr w:val="none" w:sz="0" w:space="0" w:color="auto" w:frame="1"/>
          <w:lang w:eastAsia="zh-TW"/>
          <w14:ligatures w14:val="none"/>
        </w:rPr>
        <w:t>合規：從「阻礙」變成「加速器」</w:t>
      </w:r>
    </w:p>
    <w:p w14:paraId="31F71CCE" w14:textId="77777777" w:rsidR="00106175" w:rsidRDefault="00106175" w:rsidP="00106175">
      <w:pPr>
        <w:spacing w:after="0" w:line="240" w:lineRule="auto"/>
        <w:textAlignment w:val="baseline"/>
        <w:rPr>
          <w:rFonts w:ascii="Microsoft YaHei" w:eastAsia="Microsoft YaHei" w:hAnsi="Microsoft YaHei" w:cs="Microsoft YaHei"/>
          <w:kern w:val="0"/>
          <w:lang w:eastAsia="zh-TW"/>
          <w14:ligatures w14:val="none"/>
        </w:rPr>
      </w:pPr>
      <w:r w:rsidRPr="00106175">
        <w:rPr>
          <w:rFonts w:ascii="Microsoft YaHei" w:eastAsia="Microsoft YaHei" w:hAnsi="Microsoft YaHei" w:cs="Microsoft YaHei"/>
          <w:kern w:val="0"/>
          <w:lang w:eastAsia="zh-TW"/>
          <w14:ligatures w14:val="none"/>
        </w:rPr>
        <w:t>在</w:t>
      </w:r>
      <w:r w:rsidRPr="00106175">
        <w:rPr>
          <w:rFonts w:ascii="Segoe UI" w:eastAsia="Times New Roman" w:hAnsi="Segoe UI" w:cs="Segoe UI"/>
          <w:kern w:val="0"/>
          <w:lang w:eastAsia="zh-TW"/>
          <w14:ligatures w14:val="none"/>
        </w:rPr>
        <w:t xml:space="preserve"> EXIO </w:t>
      </w:r>
      <w:r w:rsidRPr="00106175">
        <w:rPr>
          <w:rFonts w:ascii="Microsoft YaHei" w:eastAsia="Microsoft YaHei" w:hAnsi="Microsoft YaHei" w:cs="Microsoft YaHei"/>
          <w:kern w:val="0"/>
          <w:lang w:eastAsia="zh-TW"/>
          <w14:ligatures w14:val="none"/>
        </w:rPr>
        <w:t>的觀察中，合規正在經歷一場角色反轉。過去，穩定幣長期游離於監管框架之外，銀行不敢碰、機構不敢進。現在，</w:t>
      </w:r>
      <w:r w:rsidRPr="00106175">
        <w:rPr>
          <w:rFonts w:ascii="Segoe UI" w:eastAsia="Times New Roman" w:hAnsi="Segoe UI" w:cs="Segoe UI"/>
          <w:kern w:val="0"/>
          <w:lang w:eastAsia="zh-TW"/>
          <w14:ligatures w14:val="none"/>
        </w:rPr>
        <w:t xml:space="preserve">MiCA </w:t>
      </w:r>
      <w:r w:rsidRPr="00106175">
        <w:rPr>
          <w:rFonts w:ascii="Microsoft YaHei" w:eastAsia="Microsoft YaHei" w:hAnsi="Microsoft YaHei" w:cs="Microsoft YaHei"/>
          <w:kern w:val="0"/>
          <w:lang w:eastAsia="zh-TW"/>
          <w14:ligatures w14:val="none"/>
        </w:rPr>
        <w:t>落地、美國穩定幣立法推進，為銀行參與提供了規則依據。渣打選擇迪拜國際金融中心作為首發地，</w:t>
      </w:r>
      <w:r w:rsidRPr="00106175">
        <w:rPr>
          <w:rFonts w:ascii="Segoe UI" w:eastAsia="Times New Roman" w:hAnsi="Segoe UI" w:cs="Segoe UI"/>
          <w:kern w:val="0"/>
          <w:lang w:eastAsia="zh-TW"/>
          <w14:ligatures w14:val="none"/>
        </w:rPr>
        <w:t xml:space="preserve">DIFC </w:t>
      </w:r>
      <w:r w:rsidRPr="00106175">
        <w:rPr>
          <w:rFonts w:ascii="Microsoft YaHei" w:eastAsia="Microsoft YaHei" w:hAnsi="Microsoft YaHei" w:cs="Microsoft YaHei"/>
          <w:kern w:val="0"/>
          <w:lang w:eastAsia="zh-TW"/>
          <w14:ligatures w14:val="none"/>
        </w:rPr>
        <w:t>本身是監管明確的國際金融特區，這一選擇極具象徵意義</w:t>
      </w:r>
      <w:r w:rsidRPr="00106175">
        <w:rPr>
          <w:rFonts w:ascii="Segoe UI" w:eastAsia="Times New Roman" w:hAnsi="Segoe UI" w:cs="Segoe UI"/>
          <w:kern w:val="0"/>
          <w:lang w:eastAsia="zh-TW"/>
          <w14:ligatures w14:val="none"/>
        </w:rPr>
        <w:t>——</w:t>
      </w:r>
      <w:r w:rsidRPr="00106175">
        <w:rPr>
          <w:rFonts w:ascii="Microsoft YaHei" w:eastAsia="Microsoft YaHei" w:hAnsi="Microsoft YaHei" w:cs="Microsoft YaHei"/>
          <w:kern w:val="0"/>
          <w:lang w:eastAsia="zh-TW"/>
          <w14:ligatures w14:val="none"/>
        </w:rPr>
        <w:t>不是找監管模糊地帶鑽空子，而是在監管最清晰的地方率先卡位。合規不是限制創新的枷鎖，而是讓創新「合格」的篩子</w:t>
      </w:r>
      <w:r w:rsidRPr="00106175">
        <w:rPr>
          <w:rFonts w:ascii="Segoe UI" w:eastAsia="Times New Roman" w:hAnsi="Segoe UI" w:cs="Segoe UI"/>
          <w:kern w:val="0"/>
          <w:lang w:eastAsia="zh-TW"/>
          <w14:ligatures w14:val="none"/>
        </w:rPr>
        <w:t>——</w:t>
      </w:r>
      <w:r w:rsidRPr="00106175">
        <w:rPr>
          <w:rFonts w:ascii="Microsoft YaHei" w:eastAsia="Microsoft YaHei" w:hAnsi="Microsoft YaHei" w:cs="Microsoft YaHei"/>
          <w:kern w:val="0"/>
          <w:lang w:eastAsia="zh-TW"/>
          <w14:ligatures w14:val="none"/>
        </w:rPr>
        <w:t>合格者才能進入機構級市場。誰能在合規框架下率先打通銀行與穩定幣的通道，誰就能搶佔機構資金的入口。渣打作為首家</w:t>
      </w:r>
      <w:r w:rsidRPr="00106175">
        <w:rPr>
          <w:rFonts w:ascii="Segoe UI" w:eastAsia="Times New Roman" w:hAnsi="Segoe UI" w:cs="Segoe UI"/>
          <w:kern w:val="0"/>
          <w:lang w:eastAsia="zh-TW"/>
          <w14:ligatures w14:val="none"/>
        </w:rPr>
        <w:t xml:space="preserve"> G-SIB </w:t>
      </w:r>
      <w:r w:rsidRPr="00106175">
        <w:rPr>
          <w:rFonts w:ascii="Microsoft YaHei" w:eastAsia="Microsoft YaHei" w:hAnsi="Microsoft YaHei" w:cs="Microsoft YaHei"/>
          <w:kern w:val="0"/>
          <w:lang w:eastAsia="zh-TW"/>
          <w14:ligatures w14:val="none"/>
        </w:rPr>
        <w:t>提供此類服務，已經佔據了先發優勢。</w:t>
      </w:r>
    </w:p>
    <w:p w14:paraId="001737D6" w14:textId="77777777" w:rsidR="00721178" w:rsidRPr="00106175" w:rsidRDefault="00721178" w:rsidP="00106175">
      <w:pPr>
        <w:spacing w:after="0" w:line="240" w:lineRule="auto"/>
        <w:textAlignment w:val="baseline"/>
        <w:rPr>
          <w:rFonts w:ascii="Segoe UI" w:eastAsia="Times New Roman" w:hAnsi="Segoe UI" w:cs="Segoe UI"/>
          <w:kern w:val="0"/>
          <w:lang w:eastAsia="zh-TW"/>
          <w14:ligatures w14:val="none"/>
        </w:rPr>
      </w:pPr>
    </w:p>
    <w:p w14:paraId="7018E186"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SimSun" w:eastAsia="SimSun" w:hAnsi="SimSun" w:cs="SimSun"/>
          <w:b/>
          <w:kern w:val="0"/>
          <w:bdr w:val="none" w:sz="0" w:space="0" w:color="auto" w:frame="1"/>
          <w:lang w:eastAsia="zh-TW"/>
          <w14:ligatures w14:val="none"/>
        </w:rPr>
        <w:t>結語：穩定幣沒有取代銀行，而是走進了銀行</w:t>
      </w:r>
    </w:p>
    <w:p w14:paraId="0590D7F4"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Microsoft YaHei" w:eastAsia="Microsoft YaHei" w:hAnsi="Microsoft YaHei" w:cs="Microsoft YaHei"/>
          <w:kern w:val="0"/>
          <w:lang w:eastAsia="zh-TW"/>
          <w14:ligatures w14:val="none"/>
        </w:rPr>
        <w:t>渣打與</w:t>
      </w:r>
      <w:r w:rsidRPr="00106175">
        <w:rPr>
          <w:rFonts w:ascii="Segoe UI" w:eastAsia="Times New Roman" w:hAnsi="Segoe UI" w:cs="Segoe UI"/>
          <w:kern w:val="0"/>
          <w:lang w:eastAsia="zh-TW"/>
          <w14:ligatures w14:val="none"/>
        </w:rPr>
        <w:t xml:space="preserve"> Circle </w:t>
      </w:r>
      <w:r w:rsidRPr="00106175">
        <w:rPr>
          <w:rFonts w:ascii="Microsoft YaHei" w:eastAsia="Microsoft YaHei" w:hAnsi="Microsoft YaHei" w:cs="Microsoft YaHei"/>
          <w:kern w:val="0"/>
          <w:lang w:eastAsia="zh-TW"/>
          <w14:ligatures w14:val="none"/>
        </w:rPr>
        <w:t>的合作，表面是一項機構服務升級，實質是傳統金融對穩定幣從「防堵」到「接入」的戰略轉向。對行業的深遠影響已經清晰可見：機構級市場的准入門檻大幅降低，更多傳統資金將以合規方式進入鏈上；銀行不再是加密世界的「旁觀者」，而是開始成為「基礎設施提供者」；穩定幣的遊戲規則正在從「加密原生」轉向「金融主流」。截至</w:t>
      </w:r>
      <w:r w:rsidRPr="00106175">
        <w:rPr>
          <w:rFonts w:ascii="Segoe UI" w:eastAsia="Times New Roman" w:hAnsi="Segoe UI" w:cs="Segoe UI"/>
          <w:kern w:val="0"/>
          <w:lang w:eastAsia="zh-TW"/>
          <w14:ligatures w14:val="none"/>
        </w:rPr>
        <w:t xml:space="preserve"> 2026 </w:t>
      </w:r>
      <w:r w:rsidRPr="00106175">
        <w:rPr>
          <w:rFonts w:ascii="Microsoft YaHei" w:eastAsia="Microsoft YaHei" w:hAnsi="Microsoft YaHei" w:cs="Microsoft YaHei"/>
          <w:kern w:val="0"/>
          <w:lang w:eastAsia="zh-TW"/>
          <w14:ligatures w14:val="none"/>
        </w:rPr>
        <w:t>年</w:t>
      </w:r>
      <w:r w:rsidRPr="00106175">
        <w:rPr>
          <w:rFonts w:ascii="Segoe UI" w:eastAsia="Times New Roman" w:hAnsi="Segoe UI" w:cs="Segoe UI"/>
          <w:kern w:val="0"/>
          <w:lang w:eastAsia="zh-TW"/>
          <w14:ligatures w14:val="none"/>
        </w:rPr>
        <w:t xml:space="preserve"> 7 </w:t>
      </w:r>
      <w:r w:rsidRPr="00106175">
        <w:rPr>
          <w:rFonts w:ascii="Microsoft YaHei" w:eastAsia="Microsoft YaHei" w:hAnsi="Microsoft YaHei" w:cs="Microsoft YaHei"/>
          <w:kern w:val="0"/>
          <w:lang w:eastAsia="zh-TW"/>
          <w14:ligatures w14:val="none"/>
        </w:rPr>
        <w:t>月，</w:t>
      </w:r>
      <w:r w:rsidRPr="00106175">
        <w:rPr>
          <w:rFonts w:ascii="Segoe UI" w:eastAsia="Times New Roman" w:hAnsi="Segoe UI" w:cs="Segoe UI"/>
          <w:kern w:val="0"/>
          <w:lang w:eastAsia="zh-TW"/>
          <w14:ligatures w14:val="none"/>
        </w:rPr>
        <w:t xml:space="preserve">USDC </w:t>
      </w:r>
      <w:r w:rsidRPr="00106175">
        <w:rPr>
          <w:rFonts w:ascii="Microsoft YaHei" w:eastAsia="Microsoft YaHei" w:hAnsi="Microsoft YaHei" w:cs="Microsoft YaHei"/>
          <w:kern w:val="0"/>
          <w:lang w:eastAsia="zh-TW"/>
          <w14:ligatures w14:val="none"/>
        </w:rPr>
        <w:t>流通量已超過</w:t>
      </w:r>
      <w:r w:rsidRPr="00106175">
        <w:rPr>
          <w:rFonts w:ascii="Segoe UI" w:eastAsia="Times New Roman" w:hAnsi="Segoe UI" w:cs="Segoe UI"/>
          <w:kern w:val="0"/>
          <w:lang w:eastAsia="zh-TW"/>
          <w14:ligatures w14:val="none"/>
        </w:rPr>
        <w:t xml:space="preserve"> 730 </w:t>
      </w:r>
      <w:r w:rsidRPr="00106175">
        <w:rPr>
          <w:rFonts w:ascii="Microsoft YaHei" w:eastAsia="Microsoft YaHei" w:hAnsi="Microsoft YaHei" w:cs="Microsoft YaHei"/>
          <w:kern w:val="0"/>
          <w:lang w:eastAsia="zh-TW"/>
          <w14:ligatures w14:val="none"/>
        </w:rPr>
        <w:t>億枚，而這個數字背後，是越來越多機構資金正通過銀行這扇「正門」流入鏈上。穩定幣沒有取代銀行，而是走進了銀行</w:t>
      </w:r>
      <w:r w:rsidRPr="00106175">
        <w:rPr>
          <w:rFonts w:ascii="Segoe UI" w:eastAsia="Times New Roman" w:hAnsi="Segoe UI" w:cs="Segoe UI"/>
          <w:kern w:val="0"/>
          <w:lang w:eastAsia="zh-TW"/>
          <w14:ligatures w14:val="none"/>
        </w:rPr>
        <w:t>——</w:t>
      </w:r>
      <w:r w:rsidRPr="00106175">
        <w:rPr>
          <w:rFonts w:ascii="Microsoft YaHei" w:eastAsia="Microsoft YaHei" w:hAnsi="Microsoft YaHei" w:cs="Microsoft YaHei"/>
          <w:kern w:val="0"/>
          <w:lang w:eastAsia="zh-TW"/>
          <w14:ligatures w14:val="none"/>
        </w:rPr>
        <w:t>而這，可能只是開始。</w:t>
      </w:r>
    </w:p>
    <w:p w14:paraId="20B9724D" w14:textId="37722D79" w:rsidR="00106175" w:rsidRPr="00106175" w:rsidRDefault="00D10F73" w:rsidP="00106175">
      <w:pPr>
        <w:spacing w:before="480" w:after="480" w:line="240" w:lineRule="auto"/>
        <w:rPr>
          <w:rFonts w:ascii="Segoe UI" w:eastAsia="Times New Roman" w:hAnsi="Segoe UI" w:cs="Segoe UI"/>
          <w:spacing w:val="8"/>
          <w:kern w:val="0"/>
          <w:sz w:val="21"/>
          <w:szCs w:val="21"/>
          <w14:ligatures w14:val="none"/>
        </w:rPr>
      </w:pPr>
      <w:r>
        <w:pict w14:anchorId="7BFE4F73">
          <v:rect id="Rectangle 5" o:spid="_x0000_s10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562B277" w14:textId="77777777"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inherit" w:eastAsia="Times New Roman" w:hAnsi="inherit" w:cs="Segoe UI"/>
          <w:b/>
          <w:kern w:val="0"/>
          <w:bdr w:val="none" w:sz="0" w:space="0" w:color="auto" w:frame="1"/>
          <w:lang w:eastAsia="zh-TW"/>
          <w14:ligatures w14:val="none"/>
        </w:rPr>
        <w:t>FAQ</w:t>
      </w:r>
    </w:p>
    <w:p w14:paraId="6023C23A" w14:textId="77777777" w:rsidR="00721178" w:rsidRDefault="00106175" w:rsidP="00106175">
      <w:pPr>
        <w:spacing w:after="0" w:line="240" w:lineRule="auto"/>
        <w:textAlignment w:val="baseline"/>
        <w:rPr>
          <w:rFonts w:ascii="SimSun" w:eastAsia="SimSun" w:hAnsi="SimSun" w:cs="SimSun"/>
          <w:b/>
          <w:bCs/>
          <w:kern w:val="0"/>
          <w:bdr w:val="none" w:sz="0" w:space="0" w:color="auto" w:frame="1"/>
          <w:lang w:eastAsia="zh-TW"/>
          <w14:ligatures w14:val="none"/>
        </w:rPr>
      </w:pPr>
      <w:r w:rsidRPr="00106175">
        <w:rPr>
          <w:rFonts w:ascii="inherit" w:eastAsia="Times New Roman" w:hAnsi="inherit" w:cs="Segoe UI"/>
          <w:b/>
          <w:kern w:val="0"/>
          <w:bdr w:val="none" w:sz="0" w:space="0" w:color="auto" w:frame="1"/>
          <w:lang w:eastAsia="zh-TW"/>
          <w14:ligatures w14:val="none"/>
        </w:rPr>
        <w:t>Q</w:t>
      </w:r>
      <w:r w:rsidRPr="00106175">
        <w:rPr>
          <w:rFonts w:ascii="SimSun" w:eastAsia="SimSun" w:hAnsi="SimSun" w:cs="SimSun"/>
          <w:b/>
          <w:kern w:val="0"/>
          <w:bdr w:val="none" w:sz="0" w:space="0" w:color="auto" w:frame="1"/>
          <w:lang w:eastAsia="zh-TW"/>
          <w14:ligatures w14:val="none"/>
        </w:rPr>
        <w:t>：渣打與</w:t>
      </w:r>
      <w:r w:rsidRPr="00106175">
        <w:rPr>
          <w:rFonts w:ascii="inherit" w:eastAsia="Times New Roman" w:hAnsi="inherit" w:cs="Segoe UI"/>
          <w:b/>
          <w:kern w:val="0"/>
          <w:bdr w:val="none" w:sz="0" w:space="0" w:color="auto" w:frame="1"/>
          <w:lang w:eastAsia="zh-TW"/>
          <w14:ligatures w14:val="none"/>
        </w:rPr>
        <w:t xml:space="preserve"> Circle </w:t>
      </w:r>
      <w:r w:rsidRPr="00106175">
        <w:rPr>
          <w:rFonts w:ascii="SimSun" w:eastAsia="SimSun" w:hAnsi="SimSun" w:cs="SimSun"/>
          <w:b/>
          <w:kern w:val="0"/>
          <w:bdr w:val="none" w:sz="0" w:space="0" w:color="auto" w:frame="1"/>
          <w:lang w:eastAsia="zh-TW"/>
          <w14:ligatures w14:val="none"/>
        </w:rPr>
        <w:t>的合作具體內容是什麼？</w:t>
      </w:r>
    </w:p>
    <w:p w14:paraId="36654570" w14:textId="56DF27C5" w:rsidR="00106175" w:rsidRDefault="00106175" w:rsidP="00106175">
      <w:pPr>
        <w:spacing w:after="0" w:line="240" w:lineRule="auto"/>
        <w:textAlignment w:val="baseline"/>
        <w:rPr>
          <w:rFonts w:ascii="Microsoft YaHei" w:eastAsia="Microsoft YaHei" w:hAnsi="Microsoft YaHei" w:cs="Microsoft YaHei"/>
          <w:kern w:val="0"/>
          <w:lang w:eastAsia="zh-TW"/>
          <w14:ligatures w14:val="none"/>
        </w:rPr>
      </w:pPr>
      <w:r w:rsidRPr="00106175">
        <w:rPr>
          <w:rFonts w:ascii="Segoe UI" w:eastAsia="Times New Roman" w:hAnsi="Segoe UI" w:cs="Segoe UI"/>
          <w:kern w:val="0"/>
          <w:lang w:eastAsia="zh-TW"/>
          <w14:ligatures w14:val="none"/>
        </w:rPr>
        <w:t>A</w:t>
      </w:r>
      <w:r w:rsidRPr="00106175">
        <w:rPr>
          <w:rFonts w:ascii="Microsoft YaHei" w:eastAsia="Microsoft YaHei" w:hAnsi="Microsoft YaHei" w:cs="Microsoft YaHei"/>
          <w:kern w:val="0"/>
          <w:lang w:eastAsia="zh-TW"/>
          <w14:ligatures w14:val="none"/>
        </w:rPr>
        <w:t>：渣打銀行與</w:t>
      </w:r>
      <w:r w:rsidRPr="00106175">
        <w:rPr>
          <w:rFonts w:ascii="Segoe UI" w:eastAsia="Times New Roman" w:hAnsi="Segoe UI" w:cs="Segoe UI"/>
          <w:kern w:val="0"/>
          <w:lang w:eastAsia="zh-TW"/>
          <w14:ligatures w14:val="none"/>
        </w:rPr>
        <w:t xml:space="preserve"> Circle </w:t>
      </w:r>
      <w:r w:rsidRPr="00106175">
        <w:rPr>
          <w:rFonts w:ascii="Microsoft YaHei" w:eastAsia="Microsoft YaHei" w:hAnsi="Microsoft YaHei" w:cs="Microsoft YaHei"/>
          <w:kern w:val="0"/>
          <w:lang w:eastAsia="zh-TW"/>
          <w14:ligatures w14:val="none"/>
        </w:rPr>
        <w:t>合作推出機構級</w:t>
      </w:r>
      <w:r w:rsidRPr="00106175">
        <w:rPr>
          <w:rFonts w:ascii="Segoe UI" w:eastAsia="Times New Roman" w:hAnsi="Segoe UI" w:cs="Segoe UI"/>
          <w:kern w:val="0"/>
          <w:lang w:eastAsia="zh-TW"/>
          <w14:ligatures w14:val="none"/>
        </w:rPr>
        <w:t xml:space="preserve"> USDC </w:t>
      </w:r>
      <w:r w:rsidRPr="00106175">
        <w:rPr>
          <w:rFonts w:ascii="Microsoft YaHei" w:eastAsia="Microsoft YaHei" w:hAnsi="Microsoft YaHei" w:cs="Microsoft YaHei"/>
          <w:kern w:val="0"/>
          <w:lang w:eastAsia="zh-TW"/>
          <w14:ligatures w14:val="none"/>
        </w:rPr>
        <w:t>鑄造與贖回服務，符合條件的機構客戶無需單獨開設</w:t>
      </w:r>
      <w:r w:rsidRPr="00106175">
        <w:rPr>
          <w:rFonts w:ascii="Segoe UI" w:eastAsia="Times New Roman" w:hAnsi="Segoe UI" w:cs="Segoe UI"/>
          <w:kern w:val="0"/>
          <w:lang w:eastAsia="zh-TW"/>
          <w14:ligatures w14:val="none"/>
        </w:rPr>
        <w:t xml:space="preserve"> Circle </w:t>
      </w:r>
      <w:r w:rsidRPr="00106175">
        <w:rPr>
          <w:rFonts w:ascii="Microsoft YaHei" w:eastAsia="Microsoft YaHei" w:hAnsi="Microsoft YaHei" w:cs="Microsoft YaHei"/>
          <w:kern w:val="0"/>
          <w:lang w:eastAsia="zh-TW"/>
          <w14:ligatures w14:val="none"/>
        </w:rPr>
        <w:t>帳戶，即可通過渣打完成</w:t>
      </w:r>
      <w:r w:rsidRPr="00106175">
        <w:rPr>
          <w:rFonts w:ascii="Segoe UI" w:eastAsia="Times New Roman" w:hAnsi="Segoe UI" w:cs="Segoe UI"/>
          <w:kern w:val="0"/>
          <w:lang w:eastAsia="zh-TW"/>
          <w14:ligatures w14:val="none"/>
        </w:rPr>
        <w:t xml:space="preserve"> USDC </w:t>
      </w:r>
      <w:r w:rsidRPr="00106175">
        <w:rPr>
          <w:rFonts w:ascii="Microsoft YaHei" w:eastAsia="Microsoft YaHei" w:hAnsi="Microsoft YaHei" w:cs="Microsoft YaHei"/>
          <w:kern w:val="0"/>
          <w:lang w:eastAsia="zh-TW"/>
          <w14:ligatures w14:val="none"/>
        </w:rPr>
        <w:t>的鑄造與贖回。該服務率先在迪拜國際金融中心（</w:t>
      </w:r>
      <w:r w:rsidRPr="00106175">
        <w:rPr>
          <w:rFonts w:ascii="Segoe UI" w:eastAsia="Times New Roman" w:hAnsi="Segoe UI" w:cs="Segoe UI"/>
          <w:kern w:val="0"/>
          <w:lang w:eastAsia="zh-TW"/>
          <w14:ligatures w14:val="none"/>
        </w:rPr>
        <w:t>DIFC</w:t>
      </w:r>
      <w:r w:rsidRPr="00106175">
        <w:rPr>
          <w:rFonts w:ascii="Microsoft YaHei" w:eastAsia="Microsoft YaHei" w:hAnsi="Microsoft YaHei" w:cs="Microsoft YaHei"/>
          <w:kern w:val="0"/>
          <w:lang w:eastAsia="zh-TW"/>
          <w14:ligatures w14:val="none"/>
        </w:rPr>
        <w:t>）落地。</w:t>
      </w:r>
    </w:p>
    <w:p w14:paraId="5BFD644B" w14:textId="77777777" w:rsidR="00721178" w:rsidRPr="00106175" w:rsidRDefault="00721178" w:rsidP="00106175">
      <w:pPr>
        <w:spacing w:after="0" w:line="240" w:lineRule="auto"/>
        <w:textAlignment w:val="baseline"/>
        <w:rPr>
          <w:rFonts w:ascii="Segoe UI" w:eastAsia="Times New Roman" w:hAnsi="Segoe UI" w:cs="Segoe UI"/>
          <w:kern w:val="0"/>
          <w:lang w:eastAsia="zh-TW"/>
          <w14:ligatures w14:val="none"/>
        </w:rPr>
      </w:pPr>
    </w:p>
    <w:p w14:paraId="51DDA67A" w14:textId="77777777" w:rsidR="00721178"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inherit" w:eastAsia="Times New Roman" w:hAnsi="inherit" w:cs="Segoe UI"/>
          <w:b/>
          <w:kern w:val="0"/>
          <w:bdr w:val="none" w:sz="0" w:space="0" w:color="auto" w:frame="1"/>
          <w:lang w:eastAsia="zh-TW"/>
          <w14:ligatures w14:val="none"/>
        </w:rPr>
        <w:lastRenderedPageBreak/>
        <w:t>Q</w:t>
      </w:r>
      <w:r w:rsidRPr="00106175">
        <w:rPr>
          <w:rFonts w:ascii="SimSun" w:eastAsia="SimSun" w:hAnsi="SimSun" w:cs="SimSun"/>
          <w:b/>
          <w:kern w:val="0"/>
          <w:bdr w:val="none" w:sz="0" w:space="0" w:color="auto" w:frame="1"/>
          <w:lang w:eastAsia="zh-TW"/>
          <w14:ligatures w14:val="none"/>
        </w:rPr>
        <w:t>：為什麼這次合作被認為意義重大？</w:t>
      </w:r>
      <w:r w:rsidRPr="00106175">
        <w:rPr>
          <w:rFonts w:ascii="Segoe UI" w:eastAsia="Times New Roman" w:hAnsi="Segoe UI" w:cs="Segoe UI"/>
          <w:kern w:val="0"/>
          <w:lang w:eastAsia="zh-TW"/>
          <w14:ligatures w14:val="none"/>
        </w:rPr>
        <w:t xml:space="preserve"> </w:t>
      </w:r>
    </w:p>
    <w:p w14:paraId="6625BB18" w14:textId="4A058C21" w:rsidR="00106175" w:rsidRDefault="00106175" w:rsidP="00106175">
      <w:pPr>
        <w:spacing w:after="0" w:line="240" w:lineRule="auto"/>
        <w:textAlignment w:val="baseline"/>
        <w:rPr>
          <w:rFonts w:ascii="Microsoft YaHei" w:eastAsia="Microsoft YaHei" w:hAnsi="Microsoft YaHei" w:cs="Microsoft YaHei"/>
          <w:kern w:val="0"/>
          <w:lang w:eastAsia="zh-TW"/>
          <w14:ligatures w14:val="none"/>
        </w:rPr>
      </w:pPr>
      <w:r w:rsidRPr="00106175">
        <w:rPr>
          <w:rFonts w:ascii="Segoe UI" w:eastAsia="Times New Roman" w:hAnsi="Segoe UI" w:cs="Segoe UI"/>
          <w:kern w:val="0"/>
          <w:lang w:eastAsia="zh-TW"/>
          <w14:ligatures w14:val="none"/>
        </w:rPr>
        <w:t>A</w:t>
      </w:r>
      <w:r w:rsidRPr="00106175">
        <w:rPr>
          <w:rFonts w:ascii="Microsoft YaHei" w:eastAsia="Microsoft YaHei" w:hAnsi="Microsoft YaHei" w:cs="Microsoft YaHei"/>
          <w:kern w:val="0"/>
          <w:lang w:eastAsia="zh-TW"/>
          <w14:ligatures w14:val="none"/>
        </w:rPr>
        <w:t>：渣打是全球系統重要性銀行（</w:t>
      </w:r>
      <w:r w:rsidRPr="00106175">
        <w:rPr>
          <w:rFonts w:ascii="Segoe UI" w:eastAsia="Times New Roman" w:hAnsi="Segoe UI" w:cs="Segoe UI"/>
          <w:kern w:val="0"/>
          <w:lang w:eastAsia="zh-TW"/>
          <w14:ligatures w14:val="none"/>
        </w:rPr>
        <w:t>G-SIB</w:t>
      </w:r>
      <w:r w:rsidRPr="00106175">
        <w:rPr>
          <w:rFonts w:ascii="Microsoft YaHei" w:eastAsia="Microsoft YaHei" w:hAnsi="Microsoft YaHei" w:cs="Microsoft YaHei"/>
          <w:kern w:val="0"/>
          <w:lang w:eastAsia="zh-TW"/>
          <w14:ligatures w14:val="none"/>
        </w:rPr>
        <w:t>）成員，位列</w:t>
      </w:r>
      <w:r w:rsidRPr="00106175">
        <w:rPr>
          <w:rFonts w:ascii="Segoe UI" w:eastAsia="Times New Roman" w:hAnsi="Segoe UI" w:cs="Segoe UI"/>
          <w:kern w:val="0"/>
          <w:lang w:eastAsia="zh-TW"/>
          <w14:ligatures w14:val="none"/>
        </w:rPr>
        <w:t xml:space="preserve"> FSB 2025 </w:t>
      </w:r>
      <w:r w:rsidRPr="00106175">
        <w:rPr>
          <w:rFonts w:ascii="Microsoft YaHei" w:eastAsia="Microsoft YaHei" w:hAnsi="Microsoft YaHei" w:cs="Microsoft YaHei"/>
          <w:kern w:val="0"/>
          <w:lang w:eastAsia="zh-TW"/>
          <w14:ligatures w14:val="none"/>
        </w:rPr>
        <w:t>年名單第一組。這是首家</w:t>
      </w:r>
      <w:r w:rsidRPr="00106175">
        <w:rPr>
          <w:rFonts w:ascii="Segoe UI" w:eastAsia="Times New Roman" w:hAnsi="Segoe UI" w:cs="Segoe UI"/>
          <w:kern w:val="0"/>
          <w:lang w:eastAsia="zh-TW"/>
          <w14:ligatures w14:val="none"/>
        </w:rPr>
        <w:t xml:space="preserve"> G-SIB </w:t>
      </w:r>
      <w:r w:rsidRPr="00106175">
        <w:rPr>
          <w:rFonts w:ascii="Microsoft YaHei" w:eastAsia="Microsoft YaHei" w:hAnsi="Microsoft YaHei" w:cs="Microsoft YaHei"/>
          <w:kern w:val="0"/>
          <w:lang w:eastAsia="zh-TW"/>
          <w14:ligatures w14:val="none"/>
        </w:rPr>
        <w:t>提供此類整合服務，標誌着穩定幣正在從加密行業基礎設施轉變為傳統金融認可的金融服務。</w:t>
      </w:r>
    </w:p>
    <w:p w14:paraId="72017A22" w14:textId="77777777" w:rsidR="00721178" w:rsidRPr="00106175" w:rsidRDefault="00721178" w:rsidP="00106175">
      <w:pPr>
        <w:spacing w:after="0" w:line="240" w:lineRule="auto"/>
        <w:textAlignment w:val="baseline"/>
        <w:rPr>
          <w:rFonts w:ascii="Segoe UI" w:eastAsia="Times New Roman" w:hAnsi="Segoe UI" w:cs="Segoe UI"/>
          <w:kern w:val="0"/>
          <w:lang w:eastAsia="zh-TW"/>
          <w14:ligatures w14:val="none"/>
        </w:rPr>
      </w:pPr>
    </w:p>
    <w:p w14:paraId="3C83292B" w14:textId="77777777" w:rsidR="00721178"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inherit" w:eastAsia="Times New Roman" w:hAnsi="inherit" w:cs="Segoe UI"/>
          <w:b/>
          <w:kern w:val="0"/>
          <w:bdr w:val="none" w:sz="0" w:space="0" w:color="auto" w:frame="1"/>
          <w:lang w:eastAsia="zh-TW"/>
          <w14:ligatures w14:val="none"/>
        </w:rPr>
        <w:t>Q</w:t>
      </w:r>
      <w:r w:rsidRPr="00106175">
        <w:rPr>
          <w:rFonts w:ascii="SimSun" w:eastAsia="SimSun" w:hAnsi="SimSun" w:cs="SimSun"/>
          <w:b/>
          <w:kern w:val="0"/>
          <w:bdr w:val="none" w:sz="0" w:space="0" w:color="auto" w:frame="1"/>
          <w:lang w:eastAsia="zh-TW"/>
          <w14:ligatures w14:val="none"/>
        </w:rPr>
        <w:t>：這對機構投資者意味着什麼？</w:t>
      </w:r>
      <w:r w:rsidRPr="00106175">
        <w:rPr>
          <w:rFonts w:ascii="Segoe UI" w:eastAsia="Times New Roman" w:hAnsi="Segoe UI" w:cs="Segoe UI"/>
          <w:kern w:val="0"/>
          <w:lang w:eastAsia="zh-TW"/>
          <w14:ligatures w14:val="none"/>
        </w:rPr>
        <w:t xml:space="preserve"> </w:t>
      </w:r>
    </w:p>
    <w:p w14:paraId="508766A7" w14:textId="3DB74FF4" w:rsidR="00106175" w:rsidRDefault="00106175" w:rsidP="00106175">
      <w:pPr>
        <w:spacing w:after="0" w:line="240" w:lineRule="auto"/>
        <w:textAlignment w:val="baseline"/>
        <w:rPr>
          <w:rFonts w:ascii="Microsoft YaHei" w:eastAsia="Microsoft YaHei" w:hAnsi="Microsoft YaHei" w:cs="Microsoft YaHei"/>
          <w:kern w:val="0"/>
          <w:lang w:eastAsia="zh-TW"/>
          <w14:ligatures w14:val="none"/>
        </w:rPr>
      </w:pPr>
      <w:r w:rsidRPr="00106175">
        <w:rPr>
          <w:rFonts w:ascii="Segoe UI" w:eastAsia="Times New Roman" w:hAnsi="Segoe UI" w:cs="Segoe UI"/>
          <w:kern w:val="0"/>
          <w:lang w:eastAsia="zh-TW"/>
          <w14:ligatures w14:val="none"/>
        </w:rPr>
        <w:t>A</w:t>
      </w:r>
      <w:r w:rsidRPr="00106175">
        <w:rPr>
          <w:rFonts w:ascii="Microsoft YaHei" w:eastAsia="Microsoft YaHei" w:hAnsi="Microsoft YaHei" w:cs="Microsoft YaHei"/>
          <w:kern w:val="0"/>
          <w:lang w:eastAsia="zh-TW"/>
          <w14:ligatures w14:val="none"/>
        </w:rPr>
        <w:t>：機構過去需分別對接發行方、託管機構、交易平台等多方才能完成穩定幣的鑄造與流轉，流程複雜且成本較高。銀行的加入提供了「一站式」合規入口，大幅降低了機構資金進入鏈上的門檻。</w:t>
      </w:r>
    </w:p>
    <w:p w14:paraId="471F1AAE" w14:textId="77777777" w:rsidR="00CF3E37" w:rsidRPr="00106175" w:rsidRDefault="00CF3E37" w:rsidP="00106175">
      <w:pPr>
        <w:spacing w:after="0" w:line="240" w:lineRule="auto"/>
        <w:textAlignment w:val="baseline"/>
        <w:rPr>
          <w:rFonts w:ascii="Segoe UI" w:eastAsia="Times New Roman" w:hAnsi="Segoe UI" w:cs="Segoe UI"/>
          <w:kern w:val="0"/>
          <w:lang w:eastAsia="zh-TW"/>
          <w14:ligatures w14:val="none"/>
        </w:rPr>
      </w:pPr>
    </w:p>
    <w:p w14:paraId="7220F15A" w14:textId="77777777" w:rsidR="00CF3E37"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inherit" w:eastAsia="Times New Roman" w:hAnsi="inherit" w:cs="Segoe UI"/>
          <w:b/>
          <w:kern w:val="0"/>
          <w:bdr w:val="none" w:sz="0" w:space="0" w:color="auto" w:frame="1"/>
          <w:lang w:eastAsia="zh-TW"/>
          <w14:ligatures w14:val="none"/>
        </w:rPr>
        <w:t>Q</w:t>
      </w:r>
      <w:r w:rsidRPr="00106175">
        <w:rPr>
          <w:rFonts w:ascii="SimSun" w:eastAsia="SimSun" w:hAnsi="SimSun" w:cs="SimSun"/>
          <w:b/>
          <w:kern w:val="0"/>
          <w:bdr w:val="none" w:sz="0" w:space="0" w:color="auto" w:frame="1"/>
          <w:lang w:eastAsia="zh-TW"/>
          <w14:ligatures w14:val="none"/>
        </w:rPr>
        <w:t>：合規在這次合作中扮演什麼角色？</w:t>
      </w:r>
      <w:r w:rsidRPr="00106175">
        <w:rPr>
          <w:rFonts w:ascii="Segoe UI" w:eastAsia="Times New Roman" w:hAnsi="Segoe UI" w:cs="Segoe UI"/>
          <w:kern w:val="0"/>
          <w:lang w:eastAsia="zh-TW"/>
          <w14:ligatures w14:val="none"/>
        </w:rPr>
        <w:t xml:space="preserve"> </w:t>
      </w:r>
    </w:p>
    <w:p w14:paraId="7579F3D3" w14:textId="0F4F5949" w:rsidR="00106175" w:rsidRPr="00106175" w:rsidRDefault="00106175" w:rsidP="00106175">
      <w:pPr>
        <w:spacing w:after="0" w:line="240" w:lineRule="auto"/>
        <w:textAlignment w:val="baseline"/>
        <w:rPr>
          <w:rFonts w:ascii="Segoe UI" w:eastAsia="Times New Roman" w:hAnsi="Segoe UI" w:cs="Segoe UI"/>
          <w:kern w:val="0"/>
          <w:lang w:eastAsia="zh-TW"/>
          <w14:ligatures w14:val="none"/>
        </w:rPr>
      </w:pPr>
      <w:r w:rsidRPr="00106175">
        <w:rPr>
          <w:rFonts w:ascii="Segoe UI" w:eastAsia="Times New Roman" w:hAnsi="Segoe UI" w:cs="Segoe UI"/>
          <w:kern w:val="0"/>
          <w:lang w:eastAsia="zh-TW"/>
          <w14:ligatures w14:val="none"/>
        </w:rPr>
        <w:t>A</w:t>
      </w:r>
      <w:r w:rsidRPr="00106175">
        <w:rPr>
          <w:rFonts w:ascii="Microsoft YaHei" w:eastAsia="Microsoft YaHei" w:hAnsi="Microsoft YaHei" w:cs="Microsoft YaHei"/>
          <w:kern w:val="0"/>
          <w:lang w:eastAsia="zh-TW"/>
          <w14:ligatures w14:val="none"/>
        </w:rPr>
        <w:t>：隨着</w:t>
      </w:r>
      <w:r w:rsidRPr="00106175">
        <w:rPr>
          <w:rFonts w:ascii="Segoe UI" w:eastAsia="Times New Roman" w:hAnsi="Segoe UI" w:cs="Segoe UI"/>
          <w:kern w:val="0"/>
          <w:lang w:eastAsia="zh-TW"/>
          <w14:ligatures w14:val="none"/>
        </w:rPr>
        <w:t xml:space="preserve"> MiCA </w:t>
      </w:r>
      <w:r w:rsidRPr="00106175">
        <w:rPr>
          <w:rFonts w:ascii="Microsoft YaHei" w:eastAsia="Microsoft YaHei" w:hAnsi="Microsoft YaHei" w:cs="Microsoft YaHei"/>
          <w:kern w:val="0"/>
          <w:lang w:eastAsia="zh-TW"/>
          <w14:ligatures w14:val="none"/>
        </w:rPr>
        <w:t>和美國《</w:t>
      </w:r>
      <w:r w:rsidRPr="00106175">
        <w:rPr>
          <w:rFonts w:ascii="Segoe UI" w:eastAsia="Times New Roman" w:hAnsi="Segoe UI" w:cs="Segoe UI"/>
          <w:kern w:val="0"/>
          <w:lang w:eastAsia="zh-TW"/>
          <w14:ligatures w14:val="none"/>
        </w:rPr>
        <w:t>GENIUS</w:t>
      </w:r>
      <w:r w:rsidRPr="00106175">
        <w:rPr>
          <w:rFonts w:ascii="Microsoft YaHei" w:eastAsia="Microsoft YaHei" w:hAnsi="Microsoft YaHei" w:cs="Microsoft YaHei"/>
          <w:kern w:val="0"/>
          <w:lang w:eastAsia="zh-TW"/>
          <w14:ligatures w14:val="none"/>
        </w:rPr>
        <w:t>法案》等監管框架落地，穩定幣的監管身份日益明確。合規不再是障礙，而是銀行參與穩定幣服務的「通行證」和競爭壁壘。</w:t>
      </w:r>
    </w:p>
    <w:p w14:paraId="628BD9B7" w14:textId="324751BA" w:rsidR="00106175" w:rsidRPr="00106175" w:rsidRDefault="00D10F73" w:rsidP="00106175">
      <w:pPr>
        <w:spacing w:before="480" w:after="480" w:line="240" w:lineRule="auto"/>
        <w:rPr>
          <w:rFonts w:ascii="Segoe UI" w:eastAsia="Times New Roman" w:hAnsi="Segoe UI" w:cs="Segoe UI"/>
          <w:spacing w:val="8"/>
          <w:kern w:val="0"/>
          <w:sz w:val="21"/>
          <w:szCs w:val="21"/>
          <w14:ligatures w14:val="none"/>
        </w:rPr>
      </w:pPr>
      <w:r>
        <w:pict w14:anchorId="1E0E1A53">
          <v:rect id="Rectangle 3"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A2C2942"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imSun" w:eastAsia="SimSun" w:hAnsi="SimSun" w:cs="SimSun"/>
          <w:b/>
          <w:kern w:val="0"/>
          <w:bdr w:val="none" w:sz="0" w:space="0" w:color="auto" w:frame="1"/>
          <w14:ligatures w14:val="none"/>
        </w:rPr>
        <w:t>參考附註</w:t>
      </w:r>
    </w:p>
    <w:p w14:paraId="7B379267"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egoe UI" w:eastAsia="Times New Roman" w:hAnsi="Segoe UI" w:cs="Segoe UI"/>
          <w:kern w:val="0"/>
          <w14:ligatures w14:val="none"/>
        </w:rPr>
        <w:t xml:space="preserve">[1] </w:t>
      </w:r>
      <w:r w:rsidRPr="00106175">
        <w:rPr>
          <w:rFonts w:ascii="Microsoft YaHei" w:eastAsia="Microsoft YaHei" w:hAnsi="Microsoft YaHei" w:cs="Microsoft YaHei"/>
          <w:kern w:val="0"/>
          <w14:ligatures w14:val="none"/>
        </w:rPr>
        <w:t>金色財經．〈渣打接入</w:t>
      </w:r>
      <w:r w:rsidRPr="00106175">
        <w:rPr>
          <w:rFonts w:ascii="Segoe UI" w:eastAsia="Times New Roman" w:hAnsi="Segoe UI" w:cs="Segoe UI"/>
          <w:kern w:val="0"/>
          <w14:ligatures w14:val="none"/>
        </w:rPr>
        <w:t xml:space="preserve"> USDC </w:t>
      </w:r>
      <w:r w:rsidRPr="00106175">
        <w:rPr>
          <w:rFonts w:ascii="Microsoft YaHei" w:eastAsia="Microsoft YaHei" w:hAnsi="Microsoft YaHei" w:cs="Microsoft YaHei"/>
          <w:kern w:val="0"/>
          <w14:ligatures w14:val="none"/>
        </w:rPr>
        <w:t>一個合作背後</w:t>
      </w:r>
      <w:r w:rsidRPr="00106175">
        <w:rPr>
          <w:rFonts w:ascii="Segoe UI" w:eastAsia="Times New Roman" w:hAnsi="Segoe UI" w:cs="Segoe UI"/>
          <w:kern w:val="0"/>
          <w14:ligatures w14:val="none"/>
        </w:rPr>
        <w:t xml:space="preserve"> </w:t>
      </w:r>
      <w:r w:rsidRPr="00106175">
        <w:rPr>
          <w:rFonts w:ascii="Microsoft YaHei" w:eastAsia="Microsoft YaHei" w:hAnsi="Microsoft YaHei" w:cs="Microsoft YaHei"/>
          <w:kern w:val="0"/>
          <w14:ligatures w14:val="none"/>
        </w:rPr>
        <w:t>穩定幣的遊戲規則正在改變〉．鉅亨網鏈文，</w:t>
      </w:r>
      <w:r w:rsidRPr="00106175">
        <w:rPr>
          <w:rFonts w:ascii="Segoe UI" w:eastAsia="Times New Roman" w:hAnsi="Segoe UI" w:cs="Segoe UI"/>
          <w:kern w:val="0"/>
          <w14:ligatures w14:val="none"/>
        </w:rPr>
        <w:t>2026</w:t>
      </w:r>
      <w:r w:rsidRPr="00106175">
        <w:rPr>
          <w:rFonts w:ascii="Microsoft YaHei" w:eastAsia="Microsoft YaHei" w:hAnsi="Microsoft YaHei" w:cs="Microsoft YaHei"/>
          <w:kern w:val="0"/>
          <w14:ligatures w14:val="none"/>
        </w:rPr>
        <w:t>年</w:t>
      </w:r>
      <w:r w:rsidRPr="00106175">
        <w:rPr>
          <w:rFonts w:ascii="Segoe UI" w:eastAsia="Times New Roman" w:hAnsi="Segoe UI" w:cs="Segoe UI"/>
          <w:kern w:val="0"/>
          <w14:ligatures w14:val="none"/>
        </w:rPr>
        <w:t>7</w:t>
      </w:r>
      <w:r w:rsidRPr="00106175">
        <w:rPr>
          <w:rFonts w:ascii="Microsoft YaHei" w:eastAsia="Microsoft YaHei" w:hAnsi="Microsoft YaHei" w:cs="Microsoft YaHei"/>
          <w:kern w:val="0"/>
          <w14:ligatures w14:val="none"/>
        </w:rPr>
        <w:t>月</w:t>
      </w:r>
      <w:r w:rsidRPr="00106175">
        <w:rPr>
          <w:rFonts w:ascii="Segoe UI" w:eastAsia="Times New Roman" w:hAnsi="Segoe UI" w:cs="Segoe UI"/>
          <w:kern w:val="0"/>
          <w14:ligatures w14:val="none"/>
        </w:rPr>
        <w:t>2</w:t>
      </w:r>
      <w:r w:rsidRPr="00106175">
        <w:rPr>
          <w:rFonts w:ascii="Microsoft YaHei" w:eastAsia="Microsoft YaHei" w:hAnsi="Microsoft YaHei" w:cs="Microsoft YaHei"/>
          <w:kern w:val="0"/>
          <w14:ligatures w14:val="none"/>
        </w:rPr>
        <w:t>日．</w:t>
      </w:r>
      <w:hyperlink r:id="rId4" w:tgtFrame="_blank" w:history="1">
        <w:r w:rsidRPr="00106175">
          <w:rPr>
            <w:rFonts w:ascii="inherit" w:eastAsia="Times New Roman" w:hAnsi="inherit" w:cs="Segoe UI"/>
            <w:color w:val="0000FF"/>
            <w:kern w:val="0"/>
            <w:bdr w:val="none" w:sz="0" w:space="0" w:color="auto" w:frame="1"/>
            <w14:ligatures w14:val="none"/>
          </w:rPr>
          <w:t>https://news.cnyes.com/news/id/6527987</w:t>
        </w:r>
      </w:hyperlink>
    </w:p>
    <w:p w14:paraId="1DF879EC"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egoe UI" w:eastAsia="Times New Roman" w:hAnsi="Segoe UI" w:cs="Segoe UI"/>
          <w:kern w:val="0"/>
          <w14:ligatures w14:val="none"/>
        </w:rPr>
        <w:t xml:space="preserve">[2] Bitget </w:t>
      </w:r>
      <w:r w:rsidRPr="00106175">
        <w:rPr>
          <w:rFonts w:ascii="Microsoft YaHei" w:eastAsia="Microsoft YaHei" w:hAnsi="Microsoft YaHei" w:cs="Microsoft YaHei"/>
          <w:kern w:val="0"/>
          <w14:ligatures w14:val="none"/>
        </w:rPr>
        <w:t>新聞．〈渣打銀行與</w:t>
      </w:r>
      <w:r w:rsidRPr="00106175">
        <w:rPr>
          <w:rFonts w:ascii="Segoe UI" w:eastAsia="Times New Roman" w:hAnsi="Segoe UI" w:cs="Segoe UI"/>
          <w:kern w:val="0"/>
          <w14:ligatures w14:val="none"/>
        </w:rPr>
        <w:t xml:space="preserve"> Circle </w:t>
      </w:r>
      <w:r w:rsidRPr="00106175">
        <w:rPr>
          <w:rFonts w:ascii="Microsoft YaHei" w:eastAsia="Microsoft YaHei" w:hAnsi="Microsoft YaHei" w:cs="Microsoft YaHei"/>
          <w:kern w:val="0"/>
          <w14:ligatures w14:val="none"/>
        </w:rPr>
        <w:t>推出機構級</w:t>
      </w:r>
      <w:r w:rsidRPr="00106175">
        <w:rPr>
          <w:rFonts w:ascii="Segoe UI" w:eastAsia="Times New Roman" w:hAnsi="Segoe UI" w:cs="Segoe UI"/>
          <w:kern w:val="0"/>
          <w14:ligatures w14:val="none"/>
        </w:rPr>
        <w:t xml:space="preserve"> USDC </w:t>
      </w:r>
      <w:r w:rsidRPr="00106175">
        <w:rPr>
          <w:rFonts w:ascii="Microsoft YaHei" w:eastAsia="Microsoft YaHei" w:hAnsi="Microsoft YaHei" w:cs="Microsoft YaHei"/>
          <w:kern w:val="0"/>
          <w14:ligatures w14:val="none"/>
        </w:rPr>
        <w:t>鑄造與贖回服務〉．</w:t>
      </w:r>
      <w:hyperlink r:id="rId5" w:tgtFrame="_blank" w:history="1">
        <w:r w:rsidRPr="00106175">
          <w:rPr>
            <w:rFonts w:ascii="inherit" w:eastAsia="Times New Roman" w:hAnsi="inherit" w:cs="Segoe UI"/>
            <w:color w:val="0000FF"/>
            <w:kern w:val="0"/>
            <w:bdr w:val="none" w:sz="0" w:space="0" w:color="auto" w:frame="1"/>
            <w14:ligatures w14:val="none"/>
          </w:rPr>
          <w:t>https://www.bitget.com/zh-TC/amp/news/detail/12560605486873</w:t>
        </w:r>
      </w:hyperlink>
    </w:p>
    <w:p w14:paraId="606A19FD"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egoe UI" w:eastAsia="Times New Roman" w:hAnsi="Segoe UI" w:cs="Segoe UI"/>
          <w:kern w:val="0"/>
          <w14:ligatures w14:val="none"/>
        </w:rPr>
        <w:t>[3] CoinMarketCap</w:t>
      </w:r>
      <w:r w:rsidRPr="00106175">
        <w:rPr>
          <w:rFonts w:ascii="Microsoft YaHei" w:eastAsia="Microsoft YaHei" w:hAnsi="Microsoft YaHei" w:cs="Microsoft YaHei" w:hint="eastAsia"/>
          <w:kern w:val="0"/>
          <w14:ligatures w14:val="none"/>
        </w:rPr>
        <w:t>．</w:t>
      </w:r>
      <w:r w:rsidRPr="00106175">
        <w:rPr>
          <w:rFonts w:ascii="Segoe UI" w:eastAsia="Times New Roman" w:hAnsi="Segoe UI" w:cs="Segoe UI"/>
          <w:kern w:val="0"/>
          <w14:ligatures w14:val="none"/>
        </w:rPr>
        <w:t xml:space="preserve">USDC </w:t>
      </w:r>
      <w:r w:rsidRPr="00106175">
        <w:rPr>
          <w:rFonts w:ascii="Microsoft YaHei" w:eastAsia="Microsoft YaHei" w:hAnsi="Microsoft YaHei" w:cs="Microsoft YaHei" w:hint="eastAsia"/>
          <w:kern w:val="0"/>
          <w14:ligatures w14:val="none"/>
        </w:rPr>
        <w:t>流通量及市值數據．</w:t>
      </w:r>
      <w:r w:rsidRPr="00106175">
        <w:rPr>
          <w:rFonts w:ascii="Segoe UI" w:eastAsia="Times New Roman" w:hAnsi="Segoe UI" w:cs="Segoe UI"/>
          <w:kern w:val="0"/>
          <w14:ligatures w14:val="none"/>
        </w:rPr>
        <w:t>2026</w:t>
      </w:r>
      <w:r w:rsidRPr="00106175">
        <w:rPr>
          <w:rFonts w:ascii="Microsoft YaHei" w:eastAsia="Microsoft YaHei" w:hAnsi="Microsoft YaHei" w:cs="Microsoft YaHei" w:hint="eastAsia"/>
          <w:kern w:val="0"/>
          <w14:ligatures w14:val="none"/>
        </w:rPr>
        <w:t>年</w:t>
      </w:r>
      <w:r w:rsidRPr="00106175">
        <w:rPr>
          <w:rFonts w:ascii="Segoe UI" w:eastAsia="Times New Roman" w:hAnsi="Segoe UI" w:cs="Segoe UI"/>
          <w:kern w:val="0"/>
          <w14:ligatures w14:val="none"/>
        </w:rPr>
        <w:t>7</w:t>
      </w:r>
      <w:r w:rsidRPr="00106175">
        <w:rPr>
          <w:rFonts w:ascii="Microsoft YaHei" w:eastAsia="Microsoft YaHei" w:hAnsi="Microsoft YaHei" w:cs="Microsoft YaHei" w:hint="eastAsia"/>
          <w:kern w:val="0"/>
          <w14:ligatures w14:val="none"/>
        </w:rPr>
        <w:t>月．</w:t>
      </w:r>
      <w:hyperlink r:id="rId6" w:tgtFrame="_blank" w:history="1">
        <w:r w:rsidRPr="00106175">
          <w:rPr>
            <w:rFonts w:ascii="inherit" w:eastAsia="Times New Roman" w:hAnsi="inherit" w:cs="Segoe UI"/>
            <w:color w:val="0000FF"/>
            <w:kern w:val="0"/>
            <w:bdr w:val="none" w:sz="0" w:space="0" w:color="auto" w:frame="1"/>
            <w14:ligatures w14:val="none"/>
          </w:rPr>
          <w:t>https://coinmarketcap.com/currencies/usd-coin/</w:t>
        </w:r>
      </w:hyperlink>
    </w:p>
    <w:p w14:paraId="6173F525"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egoe UI" w:eastAsia="Times New Roman" w:hAnsi="Segoe UI" w:cs="Segoe UI"/>
          <w:kern w:val="0"/>
          <w14:ligatures w14:val="none"/>
        </w:rPr>
        <w:t>[4] Financial Stability Board (FSB)</w:t>
      </w:r>
      <w:r w:rsidRPr="00106175">
        <w:rPr>
          <w:rFonts w:ascii="Microsoft YaHei" w:eastAsia="Microsoft YaHei" w:hAnsi="Microsoft YaHei" w:cs="Microsoft YaHei" w:hint="eastAsia"/>
          <w:kern w:val="0"/>
          <w14:ligatures w14:val="none"/>
        </w:rPr>
        <w:t>．</w:t>
      </w:r>
      <w:r w:rsidRPr="00106175">
        <w:rPr>
          <w:rFonts w:ascii="Segoe UI" w:eastAsia="Times New Roman" w:hAnsi="Segoe UI" w:cs="Segoe UI"/>
          <w:kern w:val="0"/>
          <w14:ligatures w14:val="none"/>
        </w:rPr>
        <w:t>2025 List of Global Systemically Important Banks (G-SIBs)</w:t>
      </w:r>
      <w:r w:rsidRPr="00106175">
        <w:rPr>
          <w:rFonts w:ascii="Microsoft YaHei" w:eastAsia="Microsoft YaHei" w:hAnsi="Microsoft YaHei" w:cs="Microsoft YaHei" w:hint="eastAsia"/>
          <w:kern w:val="0"/>
          <w14:ligatures w14:val="none"/>
        </w:rPr>
        <w:t>．</w:t>
      </w:r>
      <w:r w:rsidRPr="00106175">
        <w:rPr>
          <w:rFonts w:ascii="Segoe UI" w:eastAsia="Times New Roman" w:hAnsi="Segoe UI" w:cs="Segoe UI"/>
          <w:kern w:val="0"/>
          <w14:ligatures w14:val="none"/>
        </w:rPr>
        <w:t>2025</w:t>
      </w:r>
      <w:r w:rsidRPr="00106175">
        <w:rPr>
          <w:rFonts w:ascii="Microsoft YaHei" w:eastAsia="Microsoft YaHei" w:hAnsi="Microsoft YaHei" w:cs="Microsoft YaHei" w:hint="eastAsia"/>
          <w:kern w:val="0"/>
          <w14:ligatures w14:val="none"/>
        </w:rPr>
        <w:t>年</w:t>
      </w:r>
      <w:r w:rsidRPr="00106175">
        <w:rPr>
          <w:rFonts w:ascii="Segoe UI" w:eastAsia="Times New Roman" w:hAnsi="Segoe UI" w:cs="Segoe UI"/>
          <w:kern w:val="0"/>
          <w14:ligatures w14:val="none"/>
        </w:rPr>
        <w:t>11</w:t>
      </w:r>
      <w:r w:rsidRPr="00106175">
        <w:rPr>
          <w:rFonts w:ascii="Microsoft YaHei" w:eastAsia="Microsoft YaHei" w:hAnsi="Microsoft YaHei" w:cs="Microsoft YaHei" w:hint="eastAsia"/>
          <w:kern w:val="0"/>
          <w14:ligatures w14:val="none"/>
        </w:rPr>
        <w:t>月</w:t>
      </w:r>
      <w:r w:rsidRPr="00106175">
        <w:rPr>
          <w:rFonts w:ascii="Segoe UI" w:eastAsia="Times New Roman" w:hAnsi="Segoe UI" w:cs="Segoe UI"/>
          <w:kern w:val="0"/>
          <w14:ligatures w14:val="none"/>
        </w:rPr>
        <w:t>27</w:t>
      </w:r>
      <w:r w:rsidRPr="00106175">
        <w:rPr>
          <w:rFonts w:ascii="Microsoft YaHei" w:eastAsia="Microsoft YaHei" w:hAnsi="Microsoft YaHei" w:cs="Microsoft YaHei" w:hint="eastAsia"/>
          <w:kern w:val="0"/>
          <w14:ligatures w14:val="none"/>
        </w:rPr>
        <w:t>日．</w:t>
      </w:r>
      <w:hyperlink r:id="rId7" w:tgtFrame="_blank" w:history="1">
        <w:r w:rsidRPr="00106175">
          <w:rPr>
            <w:rFonts w:ascii="inherit" w:eastAsia="Times New Roman" w:hAnsi="inherit" w:cs="Segoe UI"/>
            <w:color w:val="0000FF"/>
            <w:kern w:val="0"/>
            <w:bdr w:val="none" w:sz="0" w:space="0" w:color="auto" w:frame="1"/>
            <w14:ligatures w14:val="none"/>
          </w:rPr>
          <w:t>https://www.fsb.org/2025/11/2025-list-of-global-systemically-important-banks-g-sibs/</w:t>
        </w:r>
      </w:hyperlink>
    </w:p>
    <w:p w14:paraId="38907E68"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egoe UI" w:eastAsia="Times New Roman" w:hAnsi="Segoe UI" w:cs="Segoe UI"/>
          <w:kern w:val="0"/>
          <w14:ligatures w14:val="none"/>
        </w:rPr>
        <w:t>[5] World Bank</w:t>
      </w:r>
      <w:r w:rsidRPr="00106175">
        <w:rPr>
          <w:rFonts w:ascii="Microsoft YaHei" w:eastAsia="Microsoft YaHei" w:hAnsi="Microsoft YaHei" w:cs="Microsoft YaHei" w:hint="eastAsia"/>
          <w:kern w:val="0"/>
          <w14:ligatures w14:val="none"/>
        </w:rPr>
        <w:t>．</w:t>
      </w:r>
      <w:r w:rsidRPr="00106175">
        <w:rPr>
          <w:rFonts w:ascii="Segoe UI" w:eastAsia="Times New Roman" w:hAnsi="Segoe UI" w:cs="Segoe UI"/>
          <w:kern w:val="0"/>
          <w14:ligatures w14:val="none"/>
        </w:rPr>
        <w:t>Remittance Prices Worldwide, Q1 2025</w:t>
      </w:r>
      <w:r w:rsidRPr="00106175">
        <w:rPr>
          <w:rFonts w:ascii="Microsoft YaHei" w:eastAsia="Microsoft YaHei" w:hAnsi="Microsoft YaHei" w:cs="Microsoft YaHei" w:hint="eastAsia"/>
          <w:kern w:val="0"/>
          <w14:ligatures w14:val="none"/>
        </w:rPr>
        <w:t>．</w:t>
      </w:r>
      <w:hyperlink r:id="rId8" w:tgtFrame="_blank" w:history="1">
        <w:r w:rsidRPr="00106175">
          <w:rPr>
            <w:rFonts w:ascii="inherit" w:eastAsia="Times New Roman" w:hAnsi="inherit" w:cs="Segoe UI"/>
            <w:color w:val="0000FF"/>
            <w:kern w:val="0"/>
            <w:bdr w:val="none" w:sz="0" w:space="0" w:color="auto" w:frame="1"/>
            <w14:ligatures w14:val="none"/>
          </w:rPr>
          <w:t>https://remittanceprices.worldbank.org/</w:t>
        </w:r>
      </w:hyperlink>
    </w:p>
    <w:p w14:paraId="1A4E4030"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egoe UI" w:eastAsia="Times New Roman" w:hAnsi="Segoe UI" w:cs="Segoe UI"/>
          <w:kern w:val="0"/>
          <w14:ligatures w14:val="none"/>
        </w:rPr>
        <w:t xml:space="preserve">[6] </w:t>
      </w:r>
      <w:r w:rsidRPr="00106175">
        <w:rPr>
          <w:rFonts w:ascii="Microsoft YaHei" w:eastAsia="Microsoft YaHei" w:hAnsi="Microsoft YaHei" w:cs="Microsoft YaHei"/>
          <w:kern w:val="0"/>
          <w14:ligatures w14:val="none"/>
        </w:rPr>
        <w:t>歐盟</w:t>
      </w:r>
      <w:r w:rsidRPr="00106175">
        <w:rPr>
          <w:rFonts w:ascii="Segoe UI" w:eastAsia="Times New Roman" w:hAnsi="Segoe UI" w:cs="Segoe UI"/>
          <w:kern w:val="0"/>
          <w14:ligatures w14:val="none"/>
        </w:rPr>
        <w:t xml:space="preserve"> MiCA </w:t>
      </w:r>
      <w:r w:rsidRPr="00106175">
        <w:rPr>
          <w:rFonts w:ascii="Microsoft YaHei" w:eastAsia="Microsoft YaHei" w:hAnsi="Microsoft YaHei" w:cs="Microsoft YaHei"/>
          <w:kern w:val="0"/>
          <w14:ligatures w14:val="none"/>
        </w:rPr>
        <w:t>法規過渡期相關報導．</w:t>
      </w:r>
      <w:r w:rsidRPr="00106175">
        <w:rPr>
          <w:rFonts w:ascii="Segoe UI" w:eastAsia="Times New Roman" w:hAnsi="Segoe UI" w:cs="Segoe UI"/>
          <w:kern w:val="0"/>
          <w14:ligatures w14:val="none"/>
        </w:rPr>
        <w:t xml:space="preserve">Gate </w:t>
      </w:r>
      <w:r w:rsidRPr="00106175">
        <w:rPr>
          <w:rFonts w:ascii="Microsoft YaHei" w:eastAsia="Microsoft YaHei" w:hAnsi="Microsoft YaHei" w:cs="Microsoft YaHei"/>
          <w:kern w:val="0"/>
          <w14:ligatures w14:val="none"/>
        </w:rPr>
        <w:t>新聞／</w:t>
      </w:r>
      <w:r w:rsidRPr="00106175">
        <w:rPr>
          <w:rFonts w:ascii="Segoe UI" w:eastAsia="Times New Roman" w:hAnsi="Segoe UI" w:cs="Segoe UI"/>
          <w:kern w:val="0"/>
          <w14:ligatures w14:val="none"/>
        </w:rPr>
        <w:t xml:space="preserve">MEXC </w:t>
      </w:r>
      <w:r w:rsidRPr="00106175">
        <w:rPr>
          <w:rFonts w:ascii="Microsoft YaHei" w:eastAsia="Microsoft YaHei" w:hAnsi="Microsoft YaHei" w:cs="Microsoft YaHei"/>
          <w:kern w:val="0"/>
          <w14:ligatures w14:val="none"/>
        </w:rPr>
        <w:t>幣圈脈動，</w:t>
      </w:r>
      <w:r w:rsidRPr="00106175">
        <w:rPr>
          <w:rFonts w:ascii="Segoe UI" w:eastAsia="Times New Roman" w:hAnsi="Segoe UI" w:cs="Segoe UI"/>
          <w:kern w:val="0"/>
          <w14:ligatures w14:val="none"/>
        </w:rPr>
        <w:t>2026</w:t>
      </w:r>
      <w:r w:rsidRPr="00106175">
        <w:rPr>
          <w:rFonts w:ascii="Microsoft YaHei" w:eastAsia="Microsoft YaHei" w:hAnsi="Microsoft YaHei" w:cs="Microsoft YaHei"/>
          <w:kern w:val="0"/>
          <w14:ligatures w14:val="none"/>
        </w:rPr>
        <w:t>年</w:t>
      </w:r>
      <w:r w:rsidRPr="00106175">
        <w:rPr>
          <w:rFonts w:ascii="Segoe UI" w:eastAsia="Times New Roman" w:hAnsi="Segoe UI" w:cs="Segoe UI"/>
          <w:kern w:val="0"/>
          <w14:ligatures w14:val="none"/>
        </w:rPr>
        <w:t>7</w:t>
      </w:r>
      <w:r w:rsidRPr="00106175">
        <w:rPr>
          <w:rFonts w:ascii="Microsoft YaHei" w:eastAsia="Microsoft YaHei" w:hAnsi="Microsoft YaHei" w:cs="Microsoft YaHei"/>
          <w:kern w:val="0"/>
          <w14:ligatures w14:val="none"/>
        </w:rPr>
        <w:t>月．</w:t>
      </w:r>
    </w:p>
    <w:p w14:paraId="47013433"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egoe UI" w:eastAsia="Times New Roman" w:hAnsi="Segoe UI" w:cs="Segoe UI"/>
          <w:kern w:val="0"/>
          <w14:ligatures w14:val="none"/>
        </w:rPr>
        <w:t xml:space="preserve">[7] </w:t>
      </w:r>
      <w:r w:rsidRPr="00106175">
        <w:rPr>
          <w:rFonts w:ascii="Microsoft YaHei" w:eastAsia="Microsoft YaHei" w:hAnsi="Microsoft YaHei" w:cs="Microsoft YaHei"/>
          <w:kern w:val="0"/>
          <w14:ligatures w14:val="none"/>
        </w:rPr>
        <w:t>美國《</w:t>
      </w:r>
      <w:r w:rsidRPr="00106175">
        <w:rPr>
          <w:rFonts w:ascii="Segoe UI" w:eastAsia="Times New Roman" w:hAnsi="Segoe UI" w:cs="Segoe UI"/>
          <w:kern w:val="0"/>
          <w14:ligatures w14:val="none"/>
        </w:rPr>
        <w:t>GENIUS</w:t>
      </w:r>
      <w:r w:rsidRPr="00106175">
        <w:rPr>
          <w:rFonts w:ascii="Microsoft YaHei" w:eastAsia="Microsoft YaHei" w:hAnsi="Microsoft YaHei" w:cs="Microsoft YaHei"/>
          <w:kern w:val="0"/>
          <w14:ligatures w14:val="none"/>
        </w:rPr>
        <w:t>法案》相關報導．網易／央視財經，</w:t>
      </w:r>
      <w:r w:rsidRPr="00106175">
        <w:rPr>
          <w:rFonts w:ascii="Segoe UI" w:eastAsia="Times New Roman" w:hAnsi="Segoe UI" w:cs="Segoe UI"/>
          <w:kern w:val="0"/>
          <w14:ligatures w14:val="none"/>
        </w:rPr>
        <w:t>2025</w:t>
      </w:r>
      <w:r w:rsidRPr="00106175">
        <w:rPr>
          <w:rFonts w:ascii="Microsoft YaHei" w:eastAsia="Microsoft YaHei" w:hAnsi="Microsoft YaHei" w:cs="Microsoft YaHei"/>
          <w:kern w:val="0"/>
          <w14:ligatures w14:val="none"/>
        </w:rPr>
        <w:t>年</w:t>
      </w:r>
      <w:r w:rsidRPr="00106175">
        <w:rPr>
          <w:rFonts w:ascii="Segoe UI" w:eastAsia="Times New Roman" w:hAnsi="Segoe UI" w:cs="Segoe UI"/>
          <w:kern w:val="0"/>
          <w14:ligatures w14:val="none"/>
        </w:rPr>
        <w:t>7</w:t>
      </w:r>
      <w:r w:rsidRPr="00106175">
        <w:rPr>
          <w:rFonts w:ascii="Microsoft YaHei" w:eastAsia="Microsoft YaHei" w:hAnsi="Microsoft YaHei" w:cs="Microsoft YaHei"/>
          <w:kern w:val="0"/>
          <w14:ligatures w14:val="none"/>
        </w:rPr>
        <w:t>月．</w:t>
      </w:r>
    </w:p>
    <w:p w14:paraId="143C5C4D"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egoe UI" w:eastAsia="Times New Roman" w:hAnsi="Segoe UI" w:cs="Segoe UI"/>
          <w:kern w:val="0"/>
          <w14:ligatures w14:val="none"/>
        </w:rPr>
        <w:t xml:space="preserve">[8] Macquarie </w:t>
      </w:r>
      <w:r w:rsidRPr="00106175">
        <w:rPr>
          <w:rFonts w:ascii="Microsoft YaHei" w:eastAsia="Microsoft YaHei" w:hAnsi="Microsoft YaHei" w:cs="Microsoft YaHei"/>
          <w:kern w:val="0"/>
          <w14:ligatures w14:val="none"/>
        </w:rPr>
        <w:t>穩定幣轉賬量報告．</w:t>
      </w:r>
      <w:r w:rsidRPr="00106175">
        <w:rPr>
          <w:rFonts w:ascii="Segoe UI" w:eastAsia="Times New Roman" w:hAnsi="Segoe UI" w:cs="Segoe UI"/>
          <w:kern w:val="0"/>
          <w14:ligatures w14:val="none"/>
        </w:rPr>
        <w:t>2025</w:t>
      </w:r>
      <w:r w:rsidRPr="00106175">
        <w:rPr>
          <w:rFonts w:ascii="Microsoft YaHei" w:eastAsia="Microsoft YaHei" w:hAnsi="Microsoft YaHei" w:cs="Microsoft YaHei"/>
          <w:kern w:val="0"/>
          <w14:ligatures w14:val="none"/>
        </w:rPr>
        <w:t>年度．</w:t>
      </w:r>
    </w:p>
    <w:p w14:paraId="6AADAC4B" w14:textId="75170D15" w:rsidR="00106175" w:rsidRPr="00106175" w:rsidRDefault="00D10F73" w:rsidP="00106175">
      <w:pPr>
        <w:spacing w:before="480" w:after="480" w:line="240" w:lineRule="auto"/>
        <w:rPr>
          <w:rFonts w:ascii="Segoe UI" w:eastAsia="Times New Roman" w:hAnsi="Segoe UI" w:cs="Segoe UI"/>
          <w:spacing w:val="8"/>
          <w:kern w:val="0"/>
          <w:sz w:val="21"/>
          <w:szCs w:val="21"/>
          <w14:ligatures w14:val="none"/>
        </w:rPr>
      </w:pPr>
      <w:r>
        <w:pict w14:anchorId="338535CF">
          <v:rect id="Rectangle 1"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3B7AD89"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SimSun" w:eastAsia="SimSun" w:hAnsi="SimSun" w:cs="SimSun"/>
          <w:b/>
          <w:kern w:val="0"/>
          <w:bdr w:val="none" w:sz="0" w:space="0" w:color="auto" w:frame="1"/>
          <w14:ligatures w14:val="none"/>
        </w:rPr>
        <w:lastRenderedPageBreak/>
        <w:t>免責聲明：</w:t>
      </w:r>
    </w:p>
    <w:p w14:paraId="58893703" w14:textId="77777777" w:rsidR="00106175" w:rsidRPr="00106175" w:rsidRDefault="00106175" w:rsidP="00106175">
      <w:pPr>
        <w:spacing w:after="0" w:line="240" w:lineRule="auto"/>
        <w:textAlignment w:val="baseline"/>
        <w:rPr>
          <w:rFonts w:ascii="Segoe UI" w:eastAsia="Times New Roman" w:hAnsi="Segoe UI" w:cs="Segoe UI"/>
          <w:kern w:val="0"/>
          <w14:ligatures w14:val="none"/>
        </w:rPr>
      </w:pPr>
      <w:r w:rsidRPr="00106175">
        <w:rPr>
          <w:rFonts w:ascii="Microsoft YaHei" w:eastAsia="Microsoft YaHei" w:hAnsi="Microsoft YaHei" w:cs="Microsoft YaHei"/>
          <w:kern w:val="0"/>
          <w14:ligatures w14:val="none"/>
        </w:rPr>
        <w:t>本材料僅供一般信息及研究參考用途，不構成任何投資、財務、法律或稅務意見，亦不构成任何招攬、要約或推薦。材料內容可能包含第三方資料或觀點，均不代表任何機構或人士之官方立場。虛擬資產及相關產品價格可能高度波動，投資者應根據自身財務狀況、投資目標及風險承受能力作出獨立判斷，並在作出任何投資決定前自行研究（</w:t>
      </w:r>
      <w:r w:rsidRPr="00106175">
        <w:rPr>
          <w:rFonts w:ascii="Segoe UI" w:eastAsia="Times New Roman" w:hAnsi="Segoe UI" w:cs="Segoe UI"/>
          <w:kern w:val="0"/>
          <w14:ligatures w14:val="none"/>
        </w:rPr>
        <w:t>DYOR</w:t>
      </w:r>
      <w:r w:rsidRPr="00106175">
        <w:rPr>
          <w:rFonts w:ascii="Microsoft YaHei" w:eastAsia="Microsoft YaHei" w:hAnsi="Microsoft YaHei" w:cs="Microsoft YaHei"/>
          <w:kern w:val="0"/>
          <w14:ligatures w14:val="none"/>
        </w:rPr>
        <w:t>）及諮詢獨立專業顧問。因使用或依賴本材料而產生的任何損失，相關各方概不承擔責任，惟適用法律不得排除或限制者除外。</w:t>
      </w:r>
    </w:p>
    <w:p w14:paraId="23104A8E" w14:textId="77777777" w:rsidR="00106175" w:rsidRPr="00106175" w:rsidRDefault="00106175" w:rsidP="00106175">
      <w:pPr>
        <w:spacing w:after="0" w:line="240" w:lineRule="auto"/>
        <w:rPr>
          <w:rFonts w:ascii="Times New Roman" w:eastAsia="Times New Roman" w:hAnsi="Times New Roman" w:cs="Times New Roman"/>
          <w:kern w:val="0"/>
          <w14:ligatures w14:val="none"/>
        </w:rPr>
      </w:pPr>
    </w:p>
    <w:p w14:paraId="2CB58E7F" w14:textId="77777777" w:rsidR="009350FE" w:rsidRDefault="009350FE" w:rsidP="00591B2D"/>
    <w:sectPr w:rsidR="009350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B2D"/>
    <w:rsid w:val="00001FB3"/>
    <w:rsid w:val="0004208F"/>
    <w:rsid w:val="00106175"/>
    <w:rsid w:val="00211E34"/>
    <w:rsid w:val="004A11B4"/>
    <w:rsid w:val="005615A5"/>
    <w:rsid w:val="00591B2D"/>
    <w:rsid w:val="006024CE"/>
    <w:rsid w:val="00672419"/>
    <w:rsid w:val="00721178"/>
    <w:rsid w:val="0084310E"/>
    <w:rsid w:val="008D2B68"/>
    <w:rsid w:val="009350FE"/>
    <w:rsid w:val="00A5175C"/>
    <w:rsid w:val="00A51DC5"/>
    <w:rsid w:val="00A627DB"/>
    <w:rsid w:val="00AB337A"/>
    <w:rsid w:val="00C23E5D"/>
    <w:rsid w:val="00C81C7B"/>
    <w:rsid w:val="00CC2044"/>
    <w:rsid w:val="00CE790D"/>
    <w:rsid w:val="00CF3E37"/>
    <w:rsid w:val="00D10F73"/>
    <w:rsid w:val="00E31AC7"/>
    <w:rsid w:val="00F1799C"/>
    <w:rsid w:val="00F3041B"/>
    <w:rsid w:val="00F46563"/>
    <w:rsid w:val="00FD2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8EBD341"/>
  <w15:chartTrackingRefBased/>
  <w15:docId w15:val="{5D8D898C-BF34-3C40-9E7E-A2524ECA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B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B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B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B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B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B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B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B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B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B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B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B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B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B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B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B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B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B2D"/>
    <w:rPr>
      <w:rFonts w:eastAsiaTheme="majorEastAsia" w:cstheme="majorBidi"/>
      <w:color w:val="272727" w:themeColor="text1" w:themeTint="D8"/>
    </w:rPr>
  </w:style>
  <w:style w:type="paragraph" w:styleId="Title">
    <w:name w:val="Title"/>
    <w:basedOn w:val="Normal"/>
    <w:next w:val="Normal"/>
    <w:link w:val="TitleChar"/>
    <w:uiPriority w:val="10"/>
    <w:qFormat/>
    <w:rsid w:val="00591B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B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B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B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B2D"/>
    <w:pPr>
      <w:spacing w:before="160"/>
      <w:jc w:val="center"/>
    </w:pPr>
    <w:rPr>
      <w:i/>
      <w:iCs/>
      <w:color w:val="404040" w:themeColor="text1" w:themeTint="BF"/>
    </w:rPr>
  </w:style>
  <w:style w:type="character" w:customStyle="1" w:styleId="QuoteChar">
    <w:name w:val="Quote Char"/>
    <w:basedOn w:val="DefaultParagraphFont"/>
    <w:link w:val="Quote"/>
    <w:uiPriority w:val="29"/>
    <w:rsid w:val="00591B2D"/>
    <w:rPr>
      <w:i/>
      <w:iCs/>
      <w:color w:val="404040" w:themeColor="text1" w:themeTint="BF"/>
    </w:rPr>
  </w:style>
  <w:style w:type="paragraph" w:styleId="ListParagraph">
    <w:name w:val="List Paragraph"/>
    <w:basedOn w:val="Normal"/>
    <w:uiPriority w:val="34"/>
    <w:qFormat/>
    <w:rsid w:val="00591B2D"/>
    <w:pPr>
      <w:ind w:left="720"/>
      <w:contextualSpacing/>
    </w:pPr>
  </w:style>
  <w:style w:type="character" w:styleId="IntenseEmphasis">
    <w:name w:val="Intense Emphasis"/>
    <w:basedOn w:val="DefaultParagraphFont"/>
    <w:uiPriority w:val="21"/>
    <w:qFormat/>
    <w:rsid w:val="00591B2D"/>
    <w:rPr>
      <w:i/>
      <w:iCs/>
      <w:color w:val="0F4761" w:themeColor="accent1" w:themeShade="BF"/>
    </w:rPr>
  </w:style>
  <w:style w:type="paragraph" w:styleId="IntenseQuote">
    <w:name w:val="Intense Quote"/>
    <w:basedOn w:val="Normal"/>
    <w:next w:val="Normal"/>
    <w:link w:val="IntenseQuoteChar"/>
    <w:uiPriority w:val="30"/>
    <w:qFormat/>
    <w:rsid w:val="00591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B2D"/>
    <w:rPr>
      <w:i/>
      <w:iCs/>
      <w:color w:val="0F4761" w:themeColor="accent1" w:themeShade="BF"/>
    </w:rPr>
  </w:style>
  <w:style w:type="character" w:styleId="IntenseReference">
    <w:name w:val="Intense Reference"/>
    <w:basedOn w:val="DefaultParagraphFont"/>
    <w:uiPriority w:val="32"/>
    <w:qFormat/>
    <w:rsid w:val="00591B2D"/>
    <w:rPr>
      <w:b/>
      <w:bCs/>
      <w:smallCaps/>
      <w:color w:val="0F4761" w:themeColor="accent1" w:themeShade="BF"/>
      <w:spacing w:val="5"/>
    </w:rPr>
  </w:style>
  <w:style w:type="paragraph" w:styleId="NormalWeb">
    <w:name w:val="Normal (Web)"/>
    <w:basedOn w:val="Normal"/>
    <w:uiPriority w:val="99"/>
    <w:semiHidden/>
    <w:unhideWhenUsed/>
    <w:rsid w:val="00001FB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6175"/>
    <w:rPr>
      <w:b/>
      <w:bCs/>
    </w:rPr>
  </w:style>
  <w:style w:type="character" w:styleId="Hyperlink">
    <w:name w:val="Hyperlink"/>
    <w:basedOn w:val="DefaultParagraphFont"/>
    <w:uiPriority w:val="99"/>
    <w:semiHidden/>
    <w:unhideWhenUsed/>
    <w:rsid w:val="001061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mittanceprices.worldbank.org/" TargetMode="External"/><Relationship Id="rId3" Type="http://schemas.openxmlformats.org/officeDocument/2006/relationships/webSettings" Target="webSettings.xml"/><Relationship Id="rId7" Type="http://schemas.openxmlformats.org/officeDocument/2006/relationships/hyperlink" Target="https://www.fsb.org/2025/11/2025-list-of-global-systemically-important-banks-g-sib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inmarketcap.com/currencies/usd-coin/" TargetMode="External"/><Relationship Id="rId5" Type="http://schemas.openxmlformats.org/officeDocument/2006/relationships/hyperlink" Target="https://www.bitget.com/zh-TC/amp/news/detail/12560605486873" TargetMode="External"/><Relationship Id="rId10" Type="http://schemas.openxmlformats.org/officeDocument/2006/relationships/theme" Target="theme/theme1.xml"/><Relationship Id="rId4" Type="http://schemas.openxmlformats.org/officeDocument/2006/relationships/hyperlink" Target="https://news.cnyes.com/news/id/652798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535</Words>
  <Characters>3052</Characters>
  <Application>Microsoft Office Word</Application>
  <DocSecurity>0</DocSecurity>
  <Lines>25</Lines>
  <Paragraphs>7</Paragraphs>
  <ScaleCrop>false</ScaleCrop>
  <Company/>
  <LinksUpToDate>false</LinksUpToDate>
  <CharactersWithSpaces>3580</CharactersWithSpaces>
  <SharedDoc>false</SharedDoc>
  <HLinks>
    <vt:vector size="30" baseType="variant">
      <vt:variant>
        <vt:i4>6488104</vt:i4>
      </vt:variant>
      <vt:variant>
        <vt:i4>12</vt:i4>
      </vt:variant>
      <vt:variant>
        <vt:i4>0</vt:i4>
      </vt:variant>
      <vt:variant>
        <vt:i4>5</vt:i4>
      </vt:variant>
      <vt:variant>
        <vt:lpwstr>https://remittanceprices.worldbank.org/</vt:lpwstr>
      </vt:variant>
      <vt:variant>
        <vt:lpwstr/>
      </vt:variant>
      <vt:variant>
        <vt:i4>524363</vt:i4>
      </vt:variant>
      <vt:variant>
        <vt:i4>9</vt:i4>
      </vt:variant>
      <vt:variant>
        <vt:i4>0</vt:i4>
      </vt:variant>
      <vt:variant>
        <vt:i4>5</vt:i4>
      </vt:variant>
      <vt:variant>
        <vt:lpwstr>https://www.fsb.org/2025/11/2025-list-of-global-systemically-important-banks-g-sibs/</vt:lpwstr>
      </vt:variant>
      <vt:variant>
        <vt:lpwstr/>
      </vt:variant>
      <vt:variant>
        <vt:i4>2490415</vt:i4>
      </vt:variant>
      <vt:variant>
        <vt:i4>6</vt:i4>
      </vt:variant>
      <vt:variant>
        <vt:i4>0</vt:i4>
      </vt:variant>
      <vt:variant>
        <vt:i4>5</vt:i4>
      </vt:variant>
      <vt:variant>
        <vt:lpwstr>https://coinmarketcap.com/currencies/usd-coin/</vt:lpwstr>
      </vt:variant>
      <vt:variant>
        <vt:lpwstr/>
      </vt:variant>
      <vt:variant>
        <vt:i4>7733355</vt:i4>
      </vt:variant>
      <vt:variant>
        <vt:i4>3</vt:i4>
      </vt:variant>
      <vt:variant>
        <vt:i4>0</vt:i4>
      </vt:variant>
      <vt:variant>
        <vt:i4>5</vt:i4>
      </vt:variant>
      <vt:variant>
        <vt:lpwstr>https://www.bitget.com/zh-TC/amp/news/detail/12560605486873</vt:lpwstr>
      </vt:variant>
      <vt:variant>
        <vt:lpwstr/>
      </vt:variant>
      <vt:variant>
        <vt:i4>3670136</vt:i4>
      </vt:variant>
      <vt:variant>
        <vt:i4>0</vt:i4>
      </vt:variant>
      <vt:variant>
        <vt:i4>0</vt:i4>
      </vt:variant>
      <vt:variant>
        <vt:i4>5</vt:i4>
      </vt:variant>
      <vt:variant>
        <vt:lpwstr>https://news.cnyes.com/news/id/6527987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Jing</dc:creator>
  <cp:keywords/>
  <dc:description/>
  <cp:lastModifiedBy>Lydia Jing</cp:lastModifiedBy>
  <cp:revision>2</cp:revision>
  <dcterms:created xsi:type="dcterms:W3CDTF">2026-07-09T07:00:00Z</dcterms:created>
  <dcterms:modified xsi:type="dcterms:W3CDTF">2026-07-09T07:00:00Z</dcterms:modified>
</cp:coreProperties>
</file>